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CB7F9" w14:textId="77777777" w:rsidR="001A7D2D" w:rsidRDefault="001A7D2D">
      <w:bookmarkStart w:id="0" w:name="_GoBack"/>
      <w:bookmarkEnd w:id="0"/>
      <w:r w:rsidRPr="001A7D2D">
        <w:rPr>
          <w:noProof/>
          <w:lang w:eastAsia="en-AU"/>
        </w:rPr>
        <w:drawing>
          <wp:anchor distT="0" distB="0" distL="114300" distR="114300" simplePos="0" relativeHeight="251665408" behindDoc="1" locked="0" layoutInCell="1" allowOverlap="1" wp14:anchorId="4C453D33" wp14:editId="1749AFE9">
            <wp:simplePos x="0" y="0"/>
            <wp:positionH relativeFrom="column">
              <wp:posOffset>147955</wp:posOffset>
            </wp:positionH>
            <wp:positionV relativeFrom="paragraph">
              <wp:posOffset>-46355</wp:posOffset>
            </wp:positionV>
            <wp:extent cx="3732530" cy="7016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QSA Crest_Stri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2530" cy="701675"/>
                    </a:xfrm>
                    <a:prstGeom prst="rect">
                      <a:avLst/>
                    </a:prstGeom>
                  </pic:spPr>
                </pic:pic>
              </a:graphicData>
            </a:graphic>
            <wp14:sizeRelH relativeFrom="page">
              <wp14:pctWidth>0</wp14:pctWidth>
            </wp14:sizeRelH>
            <wp14:sizeRelV relativeFrom="page">
              <wp14:pctHeight>0</wp14:pctHeight>
            </wp14:sizeRelV>
          </wp:anchor>
        </w:drawing>
      </w:r>
      <w:r w:rsidRPr="001A7D2D">
        <w:rPr>
          <w:noProof/>
          <w:lang w:eastAsia="en-AU"/>
        </w:rPr>
        <w:drawing>
          <wp:anchor distT="0" distB="0" distL="114300" distR="114300" simplePos="0" relativeHeight="251666432" behindDoc="0" locked="0" layoutInCell="1" allowOverlap="1" wp14:anchorId="00EE4415" wp14:editId="4FB68337">
            <wp:simplePos x="0" y="0"/>
            <wp:positionH relativeFrom="column">
              <wp:posOffset>4754880</wp:posOffset>
            </wp:positionH>
            <wp:positionV relativeFrom="paragraph">
              <wp:posOffset>6985</wp:posOffset>
            </wp:positionV>
            <wp:extent cx="1430655" cy="5842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QSA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0655" cy="584200"/>
                    </a:xfrm>
                    <a:prstGeom prst="rect">
                      <a:avLst/>
                    </a:prstGeom>
                  </pic:spPr>
                </pic:pic>
              </a:graphicData>
            </a:graphic>
            <wp14:sizeRelH relativeFrom="page">
              <wp14:pctWidth>0</wp14:pctWidth>
            </wp14:sizeRelH>
            <wp14:sizeRelV relativeFrom="page">
              <wp14:pctHeight>0</wp14:pctHeight>
            </wp14:sizeRelV>
          </wp:anchor>
        </w:drawing>
      </w:r>
    </w:p>
    <w:sdt>
      <w:sdtPr>
        <w:id w:val="1479573715"/>
        <w:docPartObj>
          <w:docPartGallery w:val="Cover Pages"/>
          <w:docPartUnique/>
        </w:docPartObj>
      </w:sdtPr>
      <w:sdtEndPr>
        <w:rPr>
          <w:noProof/>
          <w:lang w:eastAsia="en-AU"/>
        </w:rPr>
      </w:sdtEndPr>
      <w:sdtContent>
        <w:p w14:paraId="28A6CD28" w14:textId="27D4A78E" w:rsidR="00E044B4" w:rsidRPr="00AC6EE6" w:rsidRDefault="00E044B4"/>
        <w:p w14:paraId="28A6CD29" w14:textId="77777777" w:rsidR="00E044B4" w:rsidRDefault="007710B1">
          <w:pPr>
            <w:spacing w:before="0" w:after="200" w:line="276" w:lineRule="auto"/>
            <w:rPr>
              <w:rFonts w:ascii="Georgia" w:eastAsiaTheme="majorEastAsia" w:hAnsi="Georgia" w:cstheme="majorBidi"/>
              <w:b/>
              <w:bCs/>
              <w:noProof/>
              <w:color w:val="004855" w:themeColor="text1"/>
              <w:sz w:val="44"/>
              <w:szCs w:val="28"/>
              <w:lang w:eastAsia="en-AU"/>
            </w:rPr>
          </w:pPr>
          <w:r>
            <w:rPr>
              <w:b/>
              <w:i/>
              <w:noProof/>
              <w:lang w:eastAsia="en-AU"/>
            </w:rPr>
            <w:drawing>
              <wp:anchor distT="0" distB="0" distL="114300" distR="114300" simplePos="0" relativeHeight="251663360" behindDoc="1" locked="0" layoutInCell="1" allowOverlap="1" wp14:anchorId="28A6CD63" wp14:editId="28A6CD64">
                <wp:simplePos x="0" y="0"/>
                <wp:positionH relativeFrom="column">
                  <wp:posOffset>-605155</wp:posOffset>
                </wp:positionH>
                <wp:positionV relativeFrom="paragraph">
                  <wp:posOffset>1663436</wp:posOffset>
                </wp:positionV>
                <wp:extent cx="1176761" cy="1406106"/>
                <wp:effectExtent l="0" t="0" r="4445" b="3810"/>
                <wp:wrapNone/>
                <wp:docPr id="5" name="Picture 5" descr="\\FSTEQ1\Groups\Corporate\Communications\Stakeholder Engagement\Publication Support\Design\PRINT\TEQSA Templates\TEQSA Word temps\supplied\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TEQ1\Groups\Corporate\Communications\Stakeholder Engagement\Publication Support\Design\PRINT\TEQSA Templates\TEQSA Word temps\supplied\Untitled-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6761" cy="1406106"/>
                        </a:xfrm>
                        <a:prstGeom prst="rect">
                          <a:avLst/>
                        </a:prstGeom>
                        <a:noFill/>
                        <a:ln>
                          <a:noFill/>
                        </a:ln>
                      </pic:spPr>
                    </pic:pic>
                  </a:graphicData>
                </a:graphic>
                <wp14:sizeRelH relativeFrom="page">
                  <wp14:pctWidth>0</wp14:pctWidth>
                </wp14:sizeRelH>
                <wp14:sizeRelV relativeFrom="page">
                  <wp14:pctHeight>0</wp14:pctHeight>
                </wp14:sizeRelV>
              </wp:anchor>
            </w:drawing>
          </w:r>
          <w:r w:rsidR="00265730" w:rsidRPr="00265730">
            <w:rPr>
              <w:noProof/>
              <w:lang w:eastAsia="en-AU"/>
            </w:rPr>
            <mc:AlternateContent>
              <mc:Choice Requires="wps">
                <w:drawing>
                  <wp:anchor distT="0" distB="0" distL="114300" distR="114300" simplePos="0" relativeHeight="251662336" behindDoc="0" locked="0" layoutInCell="1" allowOverlap="1" wp14:anchorId="28A6CD65" wp14:editId="28A6CD66">
                    <wp:simplePos x="0" y="0"/>
                    <wp:positionH relativeFrom="column">
                      <wp:posOffset>682110</wp:posOffset>
                    </wp:positionH>
                    <wp:positionV relativeFrom="paragraph">
                      <wp:posOffset>1571194</wp:posOffset>
                    </wp:positionV>
                    <wp:extent cx="5392494" cy="343331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94" cy="3433313"/>
                            </a:xfrm>
                            <a:prstGeom prst="rect">
                              <a:avLst/>
                            </a:prstGeom>
                            <a:noFill/>
                            <a:ln w="9525">
                              <a:noFill/>
                              <a:miter lim="800000"/>
                              <a:headEnd/>
                              <a:tailEnd/>
                            </a:ln>
                          </wps:spPr>
                          <wps:txbx>
                            <w:txbxContent>
                              <w:p w14:paraId="1255E86A" w14:textId="77777777" w:rsidR="002B7E23" w:rsidRPr="008F6FC8" w:rsidRDefault="002B7E23" w:rsidP="002B7E23">
                                <w:pPr>
                                  <w:pStyle w:val="Title"/>
                                </w:pPr>
                                <w:r>
                                  <w:t>TEQSA’s Regulator Performance Framework</w:t>
                                </w:r>
                              </w:p>
                              <w:p w14:paraId="04C1DDD6" w14:textId="48DB7828" w:rsidR="002B7E23" w:rsidRDefault="002B7E23" w:rsidP="002B7E23">
                                <w:pPr>
                                  <w:pStyle w:val="Subtitle"/>
                                </w:pPr>
                                <w:r>
                                  <w:t xml:space="preserve">Version </w:t>
                                </w:r>
                                <w:r w:rsidR="003046D4">
                                  <w:t>1.0</w:t>
                                </w:r>
                                <w:r>
                                  <w:br/>
                                </w:r>
                              </w:p>
                              <w:p w14:paraId="1C681E7B" w14:textId="13A648E0" w:rsidR="002B7E23" w:rsidRPr="008F6FC8" w:rsidRDefault="002B7E23" w:rsidP="002B7E23">
                                <w:pPr>
                                  <w:pStyle w:val="NameDate"/>
                                  <w:rPr>
                                    <w:b w:val="0"/>
                                    <w:i/>
                                  </w:rPr>
                                </w:pPr>
                                <w:r>
                                  <w:rPr>
                                    <w:b w:val="0"/>
                                    <w:i/>
                                  </w:rPr>
                                  <w:t>2</w:t>
                                </w:r>
                                <w:r w:rsidR="005808D6">
                                  <w:rPr>
                                    <w:b w:val="0"/>
                                    <w:i/>
                                  </w:rPr>
                                  <w:t>7</w:t>
                                </w:r>
                                <w:r>
                                  <w:rPr>
                                    <w:b w:val="0"/>
                                    <w:i/>
                                  </w:rPr>
                                  <w:t xml:space="preserve"> November 2015</w:t>
                                </w:r>
                              </w:p>
                              <w:p w14:paraId="28A6CD7B" w14:textId="1158AF9E" w:rsidR="00683D8C" w:rsidRPr="00CA27E3" w:rsidRDefault="00683D8C" w:rsidP="008F6FC8">
                                <w:pPr>
                                  <w:pStyle w:val="Subtitle"/>
                                </w:pPr>
                              </w:p>
                              <w:p w14:paraId="28A6CD7C" w14:textId="77777777" w:rsidR="00683D8C" w:rsidRPr="00CA27E3" w:rsidRDefault="00683D8C" w:rsidP="008F6FC8">
                                <w:pPr>
                                  <w:rPr>
                                    <w:color w:val="00A6AA" w:themeColor="background1"/>
                                    <w:sz w:val="32"/>
                                  </w:rPr>
                                </w:pPr>
                              </w:p>
                              <w:p w14:paraId="28A6CD7D" w14:textId="77777777" w:rsidR="00683D8C" w:rsidRPr="00AC6EE6" w:rsidRDefault="00683D8C" w:rsidP="008F6FC8">
                                <w:pPr>
                                  <w:pStyle w:val="NameDate"/>
                                  <w:rPr>
                                    <w:color w:val="auto"/>
                                  </w:rPr>
                                </w:pPr>
                                <w:r w:rsidRPr="00AC6EE6">
                                  <w:rPr>
                                    <w:color w:val="auto"/>
                                  </w:rPr>
                                  <w:t xml:space="preserve">Author: </w:t>
                                </w:r>
                                <w:r w:rsidRPr="00AC6EE6">
                                  <w:rPr>
                                    <w:b w:val="0"/>
                                    <w:color w:val="auto"/>
                                  </w:rPr>
                                  <w:t>Mr John Smith</w:t>
                                </w:r>
                              </w:p>
                              <w:p w14:paraId="28A6CD7E" w14:textId="77777777" w:rsidR="00683D8C" w:rsidRPr="00AC6EE6" w:rsidRDefault="00683D8C" w:rsidP="008F6FC8">
                                <w:pPr>
                                  <w:pStyle w:val="NameDate"/>
                                  <w:rPr>
                                    <w:color w:val="auto"/>
                                  </w:rPr>
                                </w:pPr>
                              </w:p>
                              <w:p w14:paraId="28A6CD7F" w14:textId="77777777" w:rsidR="00683D8C" w:rsidRPr="00CA27E3" w:rsidRDefault="00683D8C" w:rsidP="008F6FC8">
                                <w:pPr>
                                  <w:pStyle w:val="NameDate"/>
                                  <w:rPr>
                                    <w:b w:val="0"/>
                                    <w:i/>
                                    <w:color w:val="00A6AA" w:themeColor="background1"/>
                                  </w:rPr>
                                </w:pPr>
                                <w:r w:rsidRPr="00AC6EE6">
                                  <w:rPr>
                                    <w:b w:val="0"/>
                                    <w:i/>
                                    <w:color w:val="auto"/>
                                  </w:rPr>
                                  <w:t>Tuesday 11</w:t>
                                </w:r>
                                <w:r w:rsidRPr="00AC6EE6">
                                  <w:rPr>
                                    <w:b w:val="0"/>
                                    <w:i/>
                                    <w:color w:val="auto"/>
                                    <w:vertAlign w:val="superscript"/>
                                  </w:rPr>
                                  <w:t>th</w:t>
                                </w:r>
                                <w:r w:rsidRPr="00AC6EE6">
                                  <w:rPr>
                                    <w:b w:val="0"/>
                                    <w:i/>
                                    <w:color w:val="auto"/>
                                  </w:rPr>
                                  <w:t xml:space="preserve"> June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7pt;margin-top:123.7pt;width:424.6pt;height:2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" filled="f" stroked="f">
                    <v:textbox>
                      <w:txbxContent>
                        <w:p w14:paraId="1255E86A" w14:textId="77777777" w:rsidR="002B7E23" w:rsidRPr="008F6FC8" w:rsidRDefault="002B7E23" w:rsidP="002B7E23">
                          <w:pPr>
                            <w:pStyle w:val="Title"/>
                          </w:pPr>
                          <w:r>
                            <w:t>TEQSA’s Regulator Performance Framework</w:t>
                          </w:r>
                        </w:p>
                        <w:p w14:paraId="04C1DDD6" w14:textId="48DB7828" w:rsidR="002B7E23" w:rsidRDefault="002B7E23" w:rsidP="002B7E23">
                          <w:pPr>
                            <w:pStyle w:val="Subtitle"/>
                          </w:pPr>
                          <w:r>
                            <w:t xml:space="preserve">Version </w:t>
                          </w:r>
                          <w:r w:rsidR="003046D4">
                            <w:t>1.0</w:t>
                          </w:r>
                          <w:r>
                            <w:br/>
                          </w:r>
                        </w:p>
                        <w:p w14:paraId="1C681E7B" w14:textId="13A648E0" w:rsidR="002B7E23" w:rsidRPr="008F6FC8" w:rsidRDefault="002B7E23" w:rsidP="002B7E23">
                          <w:pPr>
                            <w:pStyle w:val="NameDate"/>
                            <w:rPr>
                              <w:b w:val="0"/>
                              <w:i/>
                            </w:rPr>
                          </w:pPr>
                          <w:r>
                            <w:rPr>
                              <w:b w:val="0"/>
                              <w:i/>
                            </w:rPr>
                            <w:t>2</w:t>
                          </w:r>
                          <w:r w:rsidR="005808D6">
                            <w:rPr>
                              <w:b w:val="0"/>
                              <w:i/>
                            </w:rPr>
                            <w:t>7</w:t>
                          </w:r>
                          <w:r>
                            <w:rPr>
                              <w:b w:val="0"/>
                              <w:i/>
                            </w:rPr>
                            <w:t xml:space="preserve"> November 2015</w:t>
                          </w:r>
                        </w:p>
                        <w:p w14:paraId="28A6CD7B" w14:textId="1158AF9E" w:rsidR="00683D8C" w:rsidRPr="00CA27E3" w:rsidRDefault="00683D8C" w:rsidP="008F6FC8">
                          <w:pPr>
                            <w:pStyle w:val="Subtitle"/>
                          </w:pPr>
                        </w:p>
                        <w:p w14:paraId="28A6CD7C" w14:textId="77777777" w:rsidR="00683D8C" w:rsidRPr="00CA27E3" w:rsidRDefault="00683D8C" w:rsidP="008F6FC8">
                          <w:pPr>
                            <w:rPr>
                              <w:color w:val="00A6AA" w:themeColor="background1"/>
                              <w:sz w:val="32"/>
                            </w:rPr>
                          </w:pPr>
                        </w:p>
                        <w:p w14:paraId="28A6CD7D" w14:textId="77777777" w:rsidR="00683D8C" w:rsidRPr="00AC6EE6" w:rsidRDefault="00683D8C" w:rsidP="008F6FC8">
                          <w:pPr>
                            <w:pStyle w:val="NameDate"/>
                            <w:rPr>
                              <w:color w:val="auto"/>
                            </w:rPr>
                          </w:pPr>
                          <w:r w:rsidRPr="00AC6EE6">
                            <w:rPr>
                              <w:color w:val="auto"/>
                            </w:rPr>
                            <w:t xml:space="preserve">Author: </w:t>
                          </w:r>
                          <w:r w:rsidRPr="00AC6EE6">
                            <w:rPr>
                              <w:b w:val="0"/>
                              <w:color w:val="auto"/>
                            </w:rPr>
                            <w:t>Mr John Smith</w:t>
                          </w:r>
                        </w:p>
                        <w:p w14:paraId="28A6CD7E" w14:textId="77777777" w:rsidR="00683D8C" w:rsidRPr="00AC6EE6" w:rsidRDefault="00683D8C" w:rsidP="008F6FC8">
                          <w:pPr>
                            <w:pStyle w:val="NameDate"/>
                            <w:rPr>
                              <w:color w:val="auto"/>
                            </w:rPr>
                          </w:pPr>
                        </w:p>
                        <w:p w14:paraId="28A6CD7F" w14:textId="77777777" w:rsidR="00683D8C" w:rsidRPr="00CA27E3" w:rsidRDefault="00683D8C" w:rsidP="008F6FC8">
                          <w:pPr>
                            <w:pStyle w:val="NameDate"/>
                            <w:rPr>
                              <w:b w:val="0"/>
                              <w:i/>
                              <w:color w:val="00A6AA" w:themeColor="background1"/>
                            </w:rPr>
                          </w:pPr>
                          <w:r w:rsidRPr="00AC6EE6">
                            <w:rPr>
                              <w:b w:val="0"/>
                              <w:i/>
                              <w:color w:val="auto"/>
                            </w:rPr>
                            <w:t>Tuesday 11</w:t>
                          </w:r>
                          <w:r w:rsidRPr="00AC6EE6">
                            <w:rPr>
                              <w:b w:val="0"/>
                              <w:i/>
                              <w:color w:val="auto"/>
                              <w:vertAlign w:val="superscript"/>
                            </w:rPr>
                            <w:t>th</w:t>
                          </w:r>
                          <w:r w:rsidRPr="00AC6EE6">
                            <w:rPr>
                              <w:b w:val="0"/>
                              <w:i/>
                              <w:color w:val="auto"/>
                            </w:rPr>
                            <w:t xml:space="preserve"> June 2013</w:t>
                          </w:r>
                        </w:p>
                      </w:txbxContent>
                    </v:textbox>
                  </v:shape>
                </w:pict>
              </mc:Fallback>
            </mc:AlternateContent>
          </w:r>
          <w:r w:rsidR="00E044B4">
            <w:rPr>
              <w:noProof/>
              <w:lang w:eastAsia="en-AU"/>
            </w:rPr>
            <w:br w:type="page"/>
          </w:r>
        </w:p>
      </w:sdtContent>
    </w:sdt>
    <w:p w14:paraId="28A6CD35" w14:textId="53293EB1" w:rsidR="00DD6ADB" w:rsidRDefault="002B7E23" w:rsidP="002B7E23">
      <w:pPr>
        <w:pStyle w:val="Heading1"/>
        <w:rPr>
          <w:lang w:val="en-US"/>
        </w:rPr>
      </w:pPr>
      <w:bookmarkStart w:id="1" w:name="_Toc436247128"/>
      <w:bookmarkStart w:id="2" w:name="_Toc436247900"/>
      <w:r>
        <w:rPr>
          <w:noProof/>
          <w:lang w:eastAsia="en-AU"/>
        </w:rPr>
        <w:lastRenderedPageBreak/>
        <w:t>Overview</w:t>
      </w:r>
      <w:bookmarkEnd w:id="1"/>
      <w:bookmarkEnd w:id="2"/>
    </w:p>
    <w:p w14:paraId="39A44425" w14:textId="77777777" w:rsidR="002B7E23" w:rsidRDefault="002B7E23" w:rsidP="002B7E23">
      <w:pPr>
        <w:spacing w:after="0"/>
        <w:rPr>
          <w:rFonts w:eastAsia="Arial" w:cs="Arial"/>
        </w:rPr>
      </w:pPr>
      <w:r w:rsidRPr="00917AD0">
        <w:rPr>
          <w:rFonts w:eastAsia="Arial" w:cs="Arial"/>
        </w:rPr>
        <w:t xml:space="preserve">This document </w:t>
      </w:r>
      <w:r>
        <w:rPr>
          <w:rFonts w:eastAsia="Arial" w:cs="Arial"/>
        </w:rPr>
        <w:t xml:space="preserve">contains </w:t>
      </w:r>
      <w:r w:rsidRPr="00917AD0">
        <w:rPr>
          <w:rFonts w:eastAsia="Arial" w:cs="Arial"/>
        </w:rPr>
        <w:t xml:space="preserve">the </w:t>
      </w:r>
      <w:r>
        <w:rPr>
          <w:rFonts w:eastAsia="Arial" w:cs="Arial"/>
        </w:rPr>
        <w:t xml:space="preserve">activities and evidence metrics proposed </w:t>
      </w:r>
      <w:r w:rsidRPr="00917AD0">
        <w:rPr>
          <w:rFonts w:eastAsia="Arial" w:cs="Arial"/>
        </w:rPr>
        <w:t>to assess TEQSA’s performance as a regulator, p</w:t>
      </w:r>
      <w:r>
        <w:rPr>
          <w:rFonts w:eastAsia="Arial" w:cs="Arial"/>
        </w:rPr>
        <w:t>er the Australian Government’s R</w:t>
      </w:r>
      <w:r w:rsidRPr="00917AD0">
        <w:rPr>
          <w:rFonts w:eastAsia="Arial" w:cs="Arial"/>
        </w:rPr>
        <w:t>egulator Performance Framework</w:t>
      </w:r>
      <w:r>
        <w:rPr>
          <w:rFonts w:eastAsia="Arial" w:cs="Arial"/>
        </w:rPr>
        <w:t xml:space="preserve"> (RPF)</w:t>
      </w:r>
      <w:r w:rsidRPr="00917AD0">
        <w:rPr>
          <w:rFonts w:eastAsia="Arial" w:cs="Arial"/>
        </w:rPr>
        <w:t xml:space="preserve">. </w:t>
      </w:r>
      <w:r>
        <w:rPr>
          <w:rFonts w:eastAsia="Arial" w:cs="Arial"/>
        </w:rPr>
        <w:br/>
      </w:r>
    </w:p>
    <w:p w14:paraId="6DD70FB0" w14:textId="48A4B552" w:rsidR="002B7E23" w:rsidRDefault="002B7E23" w:rsidP="002B7E23">
      <w:pPr>
        <w:spacing w:after="0"/>
        <w:rPr>
          <w:rFonts w:eastAsia="Arial" w:cs="Arial"/>
        </w:rPr>
      </w:pPr>
      <w:r>
        <w:rPr>
          <w:rFonts w:eastAsia="Arial" w:cs="Arial"/>
        </w:rPr>
        <w:t xml:space="preserve">The Regulator Performance Framework consists of the following </w:t>
      </w:r>
      <w:r w:rsidR="004C21F8">
        <w:rPr>
          <w:rFonts w:eastAsia="Arial" w:cs="Arial"/>
        </w:rPr>
        <w:t>six</w:t>
      </w:r>
      <w:r>
        <w:rPr>
          <w:rFonts w:eastAsia="Arial" w:cs="Arial"/>
        </w:rPr>
        <w:t xml:space="preserve"> Key Performance Indicators:</w:t>
      </w:r>
    </w:p>
    <w:p w14:paraId="6E81C161" w14:textId="77777777" w:rsidR="002B7E23" w:rsidRPr="009D3503" w:rsidRDefault="002B7E23" w:rsidP="002B7E23">
      <w:pPr>
        <w:pStyle w:val="ListParagraph"/>
        <w:widowControl w:val="0"/>
        <w:numPr>
          <w:ilvl w:val="0"/>
          <w:numId w:val="14"/>
        </w:numPr>
        <w:spacing w:before="0" w:after="0" w:line="240" w:lineRule="auto"/>
        <w:rPr>
          <w:rFonts w:eastAsia="Arial" w:cs="Arial"/>
          <w:lang w:val="en-GB"/>
        </w:rPr>
      </w:pPr>
      <w:r w:rsidRPr="009D3503">
        <w:rPr>
          <w:rFonts w:eastAsia="Arial" w:cs="Arial"/>
          <w:lang w:val="en-GB"/>
        </w:rPr>
        <w:t>Regulators do not unnecessarily impede the efficient operation of regulated entities</w:t>
      </w:r>
    </w:p>
    <w:p w14:paraId="02E49C8E" w14:textId="77777777" w:rsidR="002B7E23" w:rsidRPr="009D3503" w:rsidRDefault="002B7E23" w:rsidP="002B7E23">
      <w:pPr>
        <w:pStyle w:val="ListParagraph"/>
        <w:widowControl w:val="0"/>
        <w:numPr>
          <w:ilvl w:val="0"/>
          <w:numId w:val="14"/>
        </w:numPr>
        <w:spacing w:before="0" w:after="0" w:line="240" w:lineRule="auto"/>
        <w:rPr>
          <w:rFonts w:eastAsia="Arial" w:cs="Arial"/>
          <w:lang w:val="en-GB"/>
        </w:rPr>
      </w:pPr>
      <w:r w:rsidRPr="009D3503">
        <w:rPr>
          <w:rFonts w:eastAsia="Arial" w:cs="Arial"/>
          <w:lang w:val="en-GB"/>
        </w:rPr>
        <w:t xml:space="preserve"> Communication with regulated entities is clear, targeted and effective</w:t>
      </w:r>
    </w:p>
    <w:p w14:paraId="17569FDF" w14:textId="77777777" w:rsidR="002B7E23" w:rsidRPr="009D3503" w:rsidRDefault="002B7E23" w:rsidP="002B7E23">
      <w:pPr>
        <w:pStyle w:val="ListParagraph"/>
        <w:widowControl w:val="0"/>
        <w:numPr>
          <w:ilvl w:val="0"/>
          <w:numId w:val="14"/>
        </w:numPr>
        <w:spacing w:before="0" w:after="0" w:line="240" w:lineRule="auto"/>
        <w:rPr>
          <w:rFonts w:eastAsia="Arial" w:cs="Arial"/>
          <w:lang w:val="en-GB"/>
        </w:rPr>
      </w:pPr>
      <w:r w:rsidRPr="009D3503">
        <w:rPr>
          <w:rFonts w:eastAsia="Arial" w:cs="Arial"/>
          <w:lang w:val="en-GB"/>
        </w:rPr>
        <w:t>Actions undertaken by regulators are proportionate to the regulatory risks being managed</w:t>
      </w:r>
    </w:p>
    <w:p w14:paraId="713FEEE6" w14:textId="77777777" w:rsidR="002B7E23" w:rsidRPr="009D3503" w:rsidRDefault="002B7E23" w:rsidP="002B7E23">
      <w:pPr>
        <w:pStyle w:val="ListParagraph"/>
        <w:widowControl w:val="0"/>
        <w:numPr>
          <w:ilvl w:val="0"/>
          <w:numId w:val="14"/>
        </w:numPr>
        <w:spacing w:before="0" w:after="0" w:line="240" w:lineRule="auto"/>
        <w:rPr>
          <w:rFonts w:eastAsia="Arial" w:cs="Arial"/>
          <w:lang w:val="en-GB"/>
        </w:rPr>
      </w:pPr>
      <w:r w:rsidRPr="009D3503">
        <w:rPr>
          <w:rFonts w:eastAsia="Arial" w:cs="Arial"/>
          <w:lang w:val="en-GB"/>
        </w:rPr>
        <w:t>Compliance and monitoring approaches are streamlined and coordinated</w:t>
      </w:r>
    </w:p>
    <w:p w14:paraId="3CBCE9F0" w14:textId="77777777" w:rsidR="002B7E23" w:rsidRPr="009D3503" w:rsidRDefault="002B7E23" w:rsidP="002B7E23">
      <w:pPr>
        <w:pStyle w:val="ListParagraph"/>
        <w:widowControl w:val="0"/>
        <w:numPr>
          <w:ilvl w:val="0"/>
          <w:numId w:val="14"/>
        </w:numPr>
        <w:spacing w:before="0" w:after="0" w:line="240" w:lineRule="auto"/>
        <w:rPr>
          <w:rFonts w:eastAsia="Arial" w:cs="Arial"/>
          <w:lang w:val="en-GB"/>
        </w:rPr>
      </w:pPr>
      <w:r w:rsidRPr="009D3503">
        <w:rPr>
          <w:rFonts w:eastAsia="Arial" w:cs="Arial"/>
          <w:lang w:val="en-GB"/>
        </w:rPr>
        <w:t>Regulators are open and transparent in their dealings with regulated entities</w:t>
      </w:r>
    </w:p>
    <w:p w14:paraId="366763BF" w14:textId="77777777" w:rsidR="002B7E23" w:rsidRPr="009D3503" w:rsidRDefault="002B7E23" w:rsidP="002B7E23">
      <w:pPr>
        <w:pStyle w:val="ListParagraph"/>
        <w:widowControl w:val="0"/>
        <w:numPr>
          <w:ilvl w:val="0"/>
          <w:numId w:val="14"/>
        </w:numPr>
        <w:spacing w:before="0" w:after="0" w:line="240" w:lineRule="auto"/>
        <w:rPr>
          <w:rFonts w:eastAsia="Arial" w:cs="Arial"/>
          <w:lang w:val="en-GB"/>
        </w:rPr>
      </w:pPr>
      <w:r w:rsidRPr="009D3503">
        <w:rPr>
          <w:rFonts w:eastAsia="Arial" w:cs="Arial"/>
          <w:lang w:val="en-GB"/>
        </w:rPr>
        <w:t>Regulators actively contribute to the continuous improvement of regulatory frameworks</w:t>
      </w:r>
    </w:p>
    <w:p w14:paraId="376A5BC5" w14:textId="77777777" w:rsidR="002B7E23" w:rsidRDefault="002B7E23" w:rsidP="002B7E23">
      <w:pPr>
        <w:spacing w:after="0"/>
        <w:rPr>
          <w:rFonts w:eastAsia="Arial" w:cs="Arial"/>
        </w:rPr>
      </w:pPr>
    </w:p>
    <w:p w14:paraId="49B5BF88" w14:textId="1A6CAC6D" w:rsidR="0020340C" w:rsidRPr="0020340C" w:rsidRDefault="0020340C" w:rsidP="0020340C">
      <w:pPr>
        <w:rPr>
          <w:rFonts w:eastAsia="Arial" w:cs="Arial"/>
          <w:lang w:val="en-GB"/>
        </w:rPr>
      </w:pPr>
      <w:r w:rsidRPr="0020340C">
        <w:rPr>
          <w:rFonts w:eastAsia="Arial" w:cs="Arial"/>
          <w:lang w:val="en-GB"/>
        </w:rPr>
        <w:t>This version of the TEQSA Regulator Performance Framework model reflects</w:t>
      </w:r>
      <w:r>
        <w:rPr>
          <w:rFonts w:eastAsia="Arial" w:cs="Arial"/>
          <w:lang w:val="en-GB"/>
        </w:rPr>
        <w:t xml:space="preserve"> TEQSA’s</w:t>
      </w:r>
      <w:r w:rsidRPr="0020340C">
        <w:rPr>
          <w:rFonts w:eastAsia="Arial" w:cs="Arial"/>
          <w:lang w:val="en-GB"/>
        </w:rPr>
        <w:t xml:space="preserve"> work to enhance the RPF to</w:t>
      </w:r>
      <w:r>
        <w:rPr>
          <w:rFonts w:eastAsia="Arial" w:cs="Arial"/>
          <w:lang w:val="en-GB"/>
        </w:rPr>
        <w:t xml:space="preserve"> more clearly</w:t>
      </w:r>
      <w:r w:rsidRPr="0020340C">
        <w:rPr>
          <w:rFonts w:eastAsia="Arial" w:cs="Arial"/>
          <w:lang w:val="en-GB"/>
        </w:rPr>
        <w:t xml:space="preserve"> </w:t>
      </w:r>
      <w:r>
        <w:rPr>
          <w:rFonts w:eastAsia="Arial" w:cs="Arial"/>
          <w:lang w:val="en-GB"/>
        </w:rPr>
        <w:t>illustrate the benefits of</w:t>
      </w:r>
      <w:r w:rsidRPr="0020340C">
        <w:rPr>
          <w:rFonts w:eastAsia="Arial" w:cs="Arial"/>
          <w:lang w:val="en-GB"/>
        </w:rPr>
        <w:t xml:space="preserve"> </w:t>
      </w:r>
      <w:r w:rsidR="00F06FFF">
        <w:rPr>
          <w:rFonts w:eastAsia="Arial" w:cs="Arial"/>
          <w:lang w:val="en-GB"/>
        </w:rPr>
        <w:t xml:space="preserve">the </w:t>
      </w:r>
      <w:r w:rsidRPr="0020340C">
        <w:rPr>
          <w:rFonts w:eastAsia="Arial" w:cs="Arial"/>
          <w:lang w:val="en-GB"/>
        </w:rPr>
        <w:t>multiple initiatives to enhance TEQSA’s quality assurance and regulatory performance. As part of this work</w:t>
      </w:r>
      <w:r w:rsidR="00E83045">
        <w:rPr>
          <w:rFonts w:eastAsia="Arial" w:cs="Arial"/>
          <w:lang w:val="en-GB"/>
        </w:rPr>
        <w:t>,</w:t>
      </w:r>
      <w:r w:rsidRPr="0020340C">
        <w:rPr>
          <w:rFonts w:eastAsia="Arial" w:cs="Arial"/>
          <w:lang w:val="en-GB"/>
        </w:rPr>
        <w:t xml:space="preserve"> the RPF framework has been more explicitly aligned to the key strategies and metrics in the TEQSA Corporate Plan 2015-19. The Corporate Plan sets out TEQSA’s priorities, underpinning strategies and associated high-level performance indica</w:t>
      </w:r>
      <w:r>
        <w:rPr>
          <w:rFonts w:eastAsia="Arial" w:cs="Arial"/>
          <w:lang w:val="en-GB"/>
        </w:rPr>
        <w:t xml:space="preserve">tors for the period. </w:t>
      </w:r>
      <w:r w:rsidRPr="0020340C">
        <w:rPr>
          <w:rFonts w:eastAsia="Arial" w:cs="Arial"/>
          <w:lang w:val="en-GB"/>
        </w:rPr>
        <w:t>As described in the Corporate Plan, TEQSA strives to maintain, streamline and improve its regulatory performance and its regulatory frameworks through engagement with the providers it regulates, effective communication with the sector and, in particular, having regard to the Australian Government Regulator Performance Framework (RPF). TEQSA will continue to enhance the detail of its Regulator Performance Framework model to ensure that the agency demonstrates as clearly as possible its compliance with the RPF KPIs.</w:t>
      </w:r>
    </w:p>
    <w:p w14:paraId="25C5673A" w14:textId="77777777" w:rsidR="001F7A6E" w:rsidRPr="009D3503" w:rsidRDefault="001F7A6E" w:rsidP="002B7E23">
      <w:pPr>
        <w:rPr>
          <w:rFonts w:eastAsia="Arial" w:cs="Arial"/>
        </w:rPr>
      </w:pPr>
    </w:p>
    <w:p w14:paraId="269D84D4" w14:textId="71CCDD95" w:rsidR="003046D4" w:rsidRDefault="007246FE" w:rsidP="002B7E23">
      <w:pPr>
        <w:rPr>
          <w:rFonts w:eastAsia="Arial" w:cs="Arial"/>
        </w:rPr>
      </w:pPr>
      <w:r>
        <w:rPr>
          <w:rFonts w:eastAsia="Arial" w:cs="Arial"/>
        </w:rPr>
        <w:t xml:space="preserve">Section 1 describes </w:t>
      </w:r>
      <w:r w:rsidR="001F7A6E">
        <w:rPr>
          <w:rFonts w:eastAsia="Arial" w:cs="Arial"/>
        </w:rPr>
        <w:t>TEQSA’s proposed Regula</w:t>
      </w:r>
      <w:r>
        <w:rPr>
          <w:rFonts w:eastAsia="Arial" w:cs="Arial"/>
        </w:rPr>
        <w:t>tor Performance Framework</w:t>
      </w:r>
      <w:r w:rsidR="003046D4">
        <w:rPr>
          <w:rFonts w:eastAsia="Arial" w:cs="Arial"/>
        </w:rPr>
        <w:t>. For each Key Performance Indicator,</w:t>
      </w:r>
      <w:r w:rsidR="00325CD3">
        <w:rPr>
          <w:rFonts w:eastAsia="Arial" w:cs="Arial"/>
        </w:rPr>
        <w:t xml:space="preserve"> TEQSA has identified a </w:t>
      </w:r>
      <w:r w:rsidR="003046D4">
        <w:rPr>
          <w:rFonts w:eastAsia="Arial" w:cs="Arial"/>
        </w:rPr>
        <w:t>range of performance indicators</w:t>
      </w:r>
      <w:r w:rsidR="00325CD3">
        <w:rPr>
          <w:rFonts w:eastAsia="Arial" w:cs="Arial"/>
        </w:rPr>
        <w:t xml:space="preserve"> and related possible evidence metrics that would be considered during self-assessment</w:t>
      </w:r>
      <w:r w:rsidR="004C21F8">
        <w:rPr>
          <w:rFonts w:eastAsia="Arial" w:cs="Arial"/>
        </w:rPr>
        <w:t xml:space="preserve"> and external review</w:t>
      </w:r>
      <w:r w:rsidR="00325CD3">
        <w:rPr>
          <w:rFonts w:eastAsia="Arial" w:cs="Arial"/>
        </w:rPr>
        <w:t>.</w:t>
      </w:r>
    </w:p>
    <w:p w14:paraId="2E5FD69E" w14:textId="77777777" w:rsidR="003046D4" w:rsidRDefault="003046D4" w:rsidP="002B7E23">
      <w:pPr>
        <w:rPr>
          <w:rFonts w:eastAsia="Arial" w:cs="Arial"/>
        </w:rPr>
      </w:pPr>
    </w:p>
    <w:p w14:paraId="492C4164" w14:textId="5B5D9251" w:rsidR="001F7A6E" w:rsidRDefault="007246FE" w:rsidP="002B7E23">
      <w:pPr>
        <w:rPr>
          <w:rFonts w:eastAsia="Arial" w:cs="Arial"/>
        </w:rPr>
      </w:pPr>
      <w:r>
        <w:rPr>
          <w:rFonts w:eastAsia="Arial" w:cs="Arial"/>
        </w:rPr>
        <w:t>Section 2</w:t>
      </w:r>
      <w:r w:rsidR="001F7A6E">
        <w:rPr>
          <w:rFonts w:eastAsia="Arial" w:cs="Arial"/>
        </w:rPr>
        <w:t xml:space="preserve"> shows how this</w:t>
      </w:r>
      <w:r>
        <w:rPr>
          <w:rFonts w:eastAsia="Arial" w:cs="Arial"/>
        </w:rPr>
        <w:t xml:space="preserve"> framework aligns </w:t>
      </w:r>
      <w:r w:rsidR="001F7A6E">
        <w:rPr>
          <w:rFonts w:eastAsia="Arial" w:cs="Arial"/>
        </w:rPr>
        <w:t>to the key</w:t>
      </w:r>
      <w:r w:rsidR="002B7E23" w:rsidRPr="009D3503">
        <w:rPr>
          <w:rFonts w:eastAsia="Arial" w:cs="Arial"/>
        </w:rPr>
        <w:t xml:space="preserve"> </w:t>
      </w:r>
      <w:r w:rsidR="000E009B">
        <w:rPr>
          <w:rFonts w:eastAsia="Arial" w:cs="Arial"/>
        </w:rPr>
        <w:t xml:space="preserve">Strategies and </w:t>
      </w:r>
      <w:r w:rsidR="001F7A6E">
        <w:rPr>
          <w:rFonts w:eastAsia="Arial" w:cs="Arial"/>
        </w:rPr>
        <w:t xml:space="preserve">overall </w:t>
      </w:r>
      <w:r w:rsidR="002B7E23" w:rsidRPr="009D3503">
        <w:rPr>
          <w:rFonts w:eastAsia="Arial" w:cs="Arial"/>
        </w:rPr>
        <w:t>Key Performance Indicators of the</w:t>
      </w:r>
      <w:r w:rsidR="001F7A6E">
        <w:rPr>
          <w:rFonts w:eastAsia="Arial" w:cs="Arial"/>
        </w:rPr>
        <w:t xml:space="preserve"> </w:t>
      </w:r>
      <w:r w:rsidR="004C21F8">
        <w:rPr>
          <w:rFonts w:eastAsia="Arial" w:cs="Arial"/>
        </w:rPr>
        <w:t xml:space="preserve">TEQSA </w:t>
      </w:r>
      <w:r w:rsidR="001F7A6E">
        <w:rPr>
          <w:rFonts w:eastAsia="Arial" w:cs="Arial"/>
        </w:rPr>
        <w:t>Corporate Plan 2015-19</w:t>
      </w:r>
      <w:r w:rsidR="000E009B">
        <w:rPr>
          <w:rFonts w:eastAsia="Arial" w:cs="Arial"/>
        </w:rPr>
        <w:t>.</w:t>
      </w:r>
    </w:p>
    <w:p w14:paraId="32C76048" w14:textId="77777777" w:rsidR="001F7A6E" w:rsidRDefault="001F7A6E" w:rsidP="002B7E23">
      <w:pPr>
        <w:rPr>
          <w:rFonts w:eastAsia="Arial" w:cs="Arial"/>
        </w:rPr>
      </w:pPr>
    </w:p>
    <w:p w14:paraId="31709043" w14:textId="0628A875" w:rsidR="002B7E23" w:rsidRDefault="002B7E23" w:rsidP="002B7E23">
      <w:pPr>
        <w:rPr>
          <w:rFonts w:eastAsia="Arial" w:cs="Arial"/>
        </w:rPr>
      </w:pPr>
      <w:r w:rsidRPr="009D3503">
        <w:rPr>
          <w:rFonts w:eastAsia="Arial" w:cs="Arial"/>
        </w:rPr>
        <w:t>To the extent that it is practicable, TEQSA proposes to streamline the measures of its performance to address reporting against both the priorities of the Corporate Plan and the KPIs of the RPF, ideally using data/metrics that have already been collected by the Agency in the course of risk analyses and regulatory activities, rather than imposing a</w:t>
      </w:r>
      <w:r>
        <w:rPr>
          <w:rFonts w:eastAsia="Arial" w:cs="Arial"/>
        </w:rPr>
        <w:t>dditional burdens on the sector.</w:t>
      </w:r>
    </w:p>
    <w:p w14:paraId="0080D10A" w14:textId="0958C36D" w:rsidR="003641E1" w:rsidRDefault="003641E1" w:rsidP="000E009B">
      <w:pPr>
        <w:spacing w:before="120" w:after="120"/>
        <w:rPr>
          <w:rFonts w:ascii="Georgia" w:eastAsiaTheme="majorEastAsia" w:hAnsi="Georgia" w:cstheme="majorBidi"/>
          <w:b/>
          <w:bCs/>
          <w:noProof/>
          <w:color w:val="004855" w:themeColor="text1"/>
          <w:sz w:val="44"/>
          <w:szCs w:val="28"/>
          <w:lang w:eastAsia="en-AU"/>
        </w:rPr>
      </w:pPr>
      <w:r>
        <w:rPr>
          <w:rFonts w:ascii="Georgia" w:eastAsiaTheme="majorEastAsia" w:hAnsi="Georgia" w:cstheme="majorBidi"/>
          <w:b/>
          <w:bCs/>
          <w:noProof/>
          <w:color w:val="004855" w:themeColor="text1"/>
          <w:sz w:val="44"/>
          <w:szCs w:val="28"/>
          <w:lang w:eastAsia="en-AU"/>
        </w:rPr>
        <w:br w:type="page"/>
      </w:r>
    </w:p>
    <w:p w14:paraId="67BEE4F7" w14:textId="47742A8F" w:rsidR="00DC0FF0" w:rsidRDefault="007246FE" w:rsidP="000E009B">
      <w:pPr>
        <w:pStyle w:val="Heading2"/>
        <w:rPr>
          <w:noProof/>
          <w:lang w:eastAsia="en-AU"/>
        </w:rPr>
      </w:pPr>
      <w:bookmarkStart w:id="3" w:name="_Toc436247129"/>
      <w:bookmarkStart w:id="4" w:name="_Toc436247901"/>
      <w:r>
        <w:rPr>
          <w:noProof/>
          <w:lang w:eastAsia="en-AU"/>
        </w:rPr>
        <w:lastRenderedPageBreak/>
        <w:t>Section 1</w:t>
      </w:r>
      <w:r w:rsidR="00DC0FF0">
        <w:rPr>
          <w:noProof/>
          <w:lang w:eastAsia="en-AU"/>
        </w:rPr>
        <w:t xml:space="preserve"> – TEQSA’s RPF KPIs</w:t>
      </w:r>
      <w:bookmarkEnd w:id="3"/>
      <w:bookmarkEnd w:id="4"/>
    </w:p>
    <w:p w14:paraId="60D348D9" w14:textId="77777777" w:rsidR="004C21F8" w:rsidRDefault="007246FE" w:rsidP="004C21F8">
      <w:pPr>
        <w:rPr>
          <w:rFonts w:eastAsia="Arial" w:cs="Arial"/>
          <w:b/>
        </w:rPr>
      </w:pPr>
      <w:r>
        <w:rPr>
          <w:rFonts w:eastAsia="Arial" w:cs="Arial"/>
          <w:b/>
        </w:rPr>
        <w:br/>
      </w:r>
      <w:r w:rsidRPr="00CD73DE">
        <w:rPr>
          <w:rFonts w:eastAsia="Arial" w:cs="Arial"/>
          <w:b/>
          <w:lang w:val="en-GB"/>
        </w:rPr>
        <w:t xml:space="preserve">KPI 1 </w:t>
      </w:r>
      <w:r w:rsidRPr="00CD73DE">
        <w:rPr>
          <w:rFonts w:eastAsia="Arial" w:cs="Arial"/>
          <w:b/>
        </w:rPr>
        <w:t>Regulation by TEQSA does not unnecessarily impede the efficient operation of higher education providers</w:t>
      </w:r>
      <w:r w:rsidR="00964FEF">
        <w:rPr>
          <w:rFonts w:eastAsia="Arial" w:cs="Arial"/>
          <w:b/>
        </w:rPr>
        <w:t>.</w:t>
      </w:r>
      <w:r>
        <w:rPr>
          <w:rFonts w:eastAsia="Arial" w:cs="Arial"/>
          <w:b/>
        </w:rPr>
        <w:t xml:space="preserve"> </w:t>
      </w:r>
    </w:p>
    <w:p w14:paraId="2981DAF2" w14:textId="249E9D74" w:rsidR="007246FE" w:rsidRPr="00CD73DE" w:rsidRDefault="007246FE" w:rsidP="004C21F8">
      <w:pPr>
        <w:ind w:left="360"/>
        <w:rPr>
          <w:rFonts w:eastAsia="Arial" w:cs="Arial"/>
        </w:rPr>
      </w:pPr>
      <w:r w:rsidRPr="00CD73DE">
        <w:rPr>
          <w:rFonts w:eastAsia="Arial" w:cs="Arial"/>
        </w:rPr>
        <w:t>TEQSA consults regularly with Higher Education providers, with peak industry bodies, and with Government about streamlining regulatory processes and reducing the administrative burden on providers to comply with TEQSA’s requirements.  Case managers also work closely with providers to tailor the information/evidence required based on a variety of risk and other factors. Specific performance indicators include:</w:t>
      </w:r>
    </w:p>
    <w:p w14:paraId="75B94EB3" w14:textId="197ECC0A" w:rsidR="007246FE" w:rsidRPr="00CD73DE" w:rsidRDefault="007246FE" w:rsidP="004C21F8">
      <w:pPr>
        <w:pStyle w:val="ListParagraph"/>
        <w:widowControl w:val="0"/>
        <w:numPr>
          <w:ilvl w:val="0"/>
          <w:numId w:val="28"/>
        </w:numPr>
        <w:spacing w:before="0" w:after="0" w:line="240" w:lineRule="auto"/>
        <w:ind w:left="720"/>
        <w:contextualSpacing w:val="0"/>
        <w:rPr>
          <w:rFonts w:eastAsia="Arial" w:cs="Arial"/>
        </w:rPr>
      </w:pPr>
      <w:r w:rsidRPr="00CD73DE">
        <w:rPr>
          <w:rFonts w:eastAsia="Arial" w:cs="Arial"/>
        </w:rPr>
        <w:t>Evidence of regular, constructive consultation with the sector</w:t>
      </w:r>
      <w:r w:rsidR="00325CD3">
        <w:rPr>
          <w:rFonts w:eastAsia="Arial" w:cs="Arial"/>
        </w:rPr>
        <w:t xml:space="preserve"> (for example, from schedules of meetings with peak groups and other networks, other Commonwealth agencies and regulators, as well as examples of consultations on specific topics such as the recent </w:t>
      </w:r>
      <w:r w:rsidR="00325CD3" w:rsidRPr="004C21F8">
        <w:rPr>
          <w:rFonts w:eastAsia="Arial" w:cs="Arial"/>
          <w:i/>
        </w:rPr>
        <w:t>‘</w:t>
      </w:r>
      <w:r w:rsidR="001D34B8" w:rsidRPr="004C21F8">
        <w:rPr>
          <w:rFonts w:eastAsia="Arial" w:cs="Arial"/>
          <w:i/>
        </w:rPr>
        <w:t>A risk and standards based approach to quality assurance in Australia’s diverse higher education sector</w:t>
      </w:r>
      <w:r w:rsidR="00325CD3" w:rsidRPr="004C21F8">
        <w:rPr>
          <w:rFonts w:eastAsia="Arial" w:cs="Arial"/>
          <w:i/>
        </w:rPr>
        <w:t>’</w:t>
      </w:r>
      <w:r w:rsidR="00325CD3">
        <w:rPr>
          <w:rFonts w:eastAsia="Arial" w:cs="Arial"/>
        </w:rPr>
        <w:t xml:space="preserve"> paper developed in consultation with sector peak bodies)</w:t>
      </w:r>
      <w:r w:rsidR="001D34B8">
        <w:rPr>
          <w:rFonts w:eastAsia="Arial" w:cs="Arial"/>
        </w:rPr>
        <w:t>.</w:t>
      </w:r>
    </w:p>
    <w:p w14:paraId="610D3298" w14:textId="740B1ED7" w:rsidR="007246FE" w:rsidRPr="00CD73DE" w:rsidRDefault="007246FE" w:rsidP="004C21F8">
      <w:pPr>
        <w:pStyle w:val="ListParagraph"/>
        <w:widowControl w:val="0"/>
        <w:numPr>
          <w:ilvl w:val="0"/>
          <w:numId w:val="27"/>
        </w:numPr>
        <w:spacing w:before="0" w:after="0" w:line="240" w:lineRule="auto"/>
        <w:ind w:left="720"/>
        <w:contextualSpacing w:val="0"/>
        <w:rPr>
          <w:rFonts w:eastAsia="Arial" w:cs="Arial"/>
        </w:rPr>
      </w:pPr>
      <w:r w:rsidRPr="00CD73DE">
        <w:rPr>
          <w:rFonts w:eastAsia="Arial" w:cs="Arial"/>
        </w:rPr>
        <w:t>A series of reductions in administrative burden already achieved, with further progress planned</w:t>
      </w:r>
      <w:r w:rsidR="00325CD3">
        <w:rPr>
          <w:rFonts w:eastAsia="Arial" w:cs="Arial"/>
        </w:rPr>
        <w:t xml:space="preserve"> (for example</w:t>
      </w:r>
      <w:r w:rsidR="00184D03">
        <w:rPr>
          <w:rFonts w:eastAsia="Arial" w:cs="Arial"/>
        </w:rPr>
        <w:t>,</w:t>
      </w:r>
      <w:r w:rsidR="00325CD3">
        <w:rPr>
          <w:rFonts w:eastAsia="Arial" w:cs="Arial"/>
        </w:rPr>
        <w:t xml:space="preserve"> the </w:t>
      </w:r>
      <w:r w:rsidR="00184D03">
        <w:rPr>
          <w:rFonts w:eastAsia="Arial" w:cs="Arial"/>
        </w:rPr>
        <w:t>design and implementation of the recent ‘core plus’ approach to course accreditation and reaccreditation)</w:t>
      </w:r>
      <w:r w:rsidR="001D34B8">
        <w:rPr>
          <w:rFonts w:eastAsia="Arial" w:cs="Arial"/>
        </w:rPr>
        <w:t>.</w:t>
      </w:r>
    </w:p>
    <w:p w14:paraId="525ADDF0" w14:textId="0EF88B13" w:rsidR="007246FE" w:rsidRPr="00CD73DE" w:rsidRDefault="007246FE" w:rsidP="004C21F8">
      <w:pPr>
        <w:pStyle w:val="ListParagraph"/>
        <w:widowControl w:val="0"/>
        <w:numPr>
          <w:ilvl w:val="0"/>
          <w:numId w:val="27"/>
        </w:numPr>
        <w:spacing w:before="0" w:after="0" w:line="240" w:lineRule="auto"/>
        <w:ind w:left="720"/>
        <w:contextualSpacing w:val="0"/>
        <w:rPr>
          <w:rFonts w:eastAsia="Arial" w:cs="Arial"/>
        </w:rPr>
      </w:pPr>
      <w:r w:rsidRPr="00CD73DE">
        <w:rPr>
          <w:rFonts w:eastAsia="Arial" w:cs="Arial"/>
        </w:rPr>
        <w:t>Engagement with international agencies to contribute to development of trans national policy</w:t>
      </w:r>
      <w:r w:rsidR="00184D03">
        <w:rPr>
          <w:rFonts w:eastAsia="Arial" w:cs="Arial"/>
        </w:rPr>
        <w:t xml:space="preserve"> (for example, collaboration via staff exchanges (CPE and Korea) and collaborative projects such as the </w:t>
      </w:r>
      <w:r w:rsidR="004C21F8">
        <w:rPr>
          <w:rFonts w:eastAsia="Arial" w:cs="Arial"/>
        </w:rPr>
        <w:t xml:space="preserve">Quality Assurance </w:t>
      </w:r>
      <w:r w:rsidR="00CA54C6">
        <w:rPr>
          <w:rFonts w:eastAsia="Arial" w:cs="Arial"/>
        </w:rPr>
        <w:t>of</w:t>
      </w:r>
      <w:r w:rsidR="00333305">
        <w:rPr>
          <w:rFonts w:eastAsia="Arial" w:cs="Arial"/>
        </w:rPr>
        <w:t xml:space="preserve"> Cross-b</w:t>
      </w:r>
      <w:r w:rsidR="004C21F8">
        <w:rPr>
          <w:rFonts w:eastAsia="Arial" w:cs="Arial"/>
        </w:rPr>
        <w:t xml:space="preserve">order Higher Education (QACHE) </w:t>
      </w:r>
      <w:r w:rsidR="00CA54C6">
        <w:rPr>
          <w:rFonts w:eastAsia="Arial" w:cs="Arial"/>
        </w:rPr>
        <w:t>project</w:t>
      </w:r>
      <w:r w:rsidR="00184D03">
        <w:rPr>
          <w:rFonts w:eastAsia="Arial" w:cs="Arial"/>
        </w:rPr>
        <w:t>)</w:t>
      </w:r>
      <w:r w:rsidR="001D34B8">
        <w:rPr>
          <w:rFonts w:eastAsia="Arial" w:cs="Arial"/>
        </w:rPr>
        <w:t>.</w:t>
      </w:r>
    </w:p>
    <w:p w14:paraId="03012F89" w14:textId="080A78EC" w:rsidR="007246FE" w:rsidRDefault="005B3C68" w:rsidP="004C21F8">
      <w:pPr>
        <w:pStyle w:val="ListParagraph"/>
        <w:widowControl w:val="0"/>
        <w:numPr>
          <w:ilvl w:val="0"/>
          <w:numId w:val="27"/>
        </w:numPr>
        <w:spacing w:before="0" w:after="0" w:line="240" w:lineRule="auto"/>
        <w:ind w:left="720"/>
        <w:contextualSpacing w:val="0"/>
        <w:rPr>
          <w:rFonts w:eastAsia="Arial" w:cs="Arial"/>
        </w:rPr>
      </w:pPr>
      <w:r>
        <w:rPr>
          <w:rFonts w:eastAsia="Arial" w:cs="Arial"/>
        </w:rPr>
        <w:t>The use of a</w:t>
      </w:r>
      <w:r w:rsidR="007246FE" w:rsidRPr="003A7568">
        <w:rPr>
          <w:rFonts w:eastAsia="Arial" w:cs="Arial"/>
        </w:rPr>
        <w:t xml:space="preserve"> case management model for regulatory processes allowing tailoring of processes according to the circum</w:t>
      </w:r>
      <w:r w:rsidR="001D34B8">
        <w:rPr>
          <w:rFonts w:eastAsia="Arial" w:cs="Arial"/>
        </w:rPr>
        <w:t>stances of individual providers (for example, to amending registration periods for merged providers).</w:t>
      </w:r>
    </w:p>
    <w:p w14:paraId="5F894B19" w14:textId="77777777" w:rsidR="007246FE" w:rsidRDefault="007246FE" w:rsidP="007246FE">
      <w:pPr>
        <w:pStyle w:val="BulletsL1"/>
        <w:numPr>
          <w:ilvl w:val="0"/>
          <w:numId w:val="0"/>
        </w:numPr>
        <w:ind w:left="720"/>
        <w:rPr>
          <w:i/>
          <w:color w:val="FF0000"/>
        </w:rPr>
      </w:pPr>
    </w:p>
    <w:p w14:paraId="087F63D7" w14:textId="77777777" w:rsidR="009278A7" w:rsidRDefault="007246FE" w:rsidP="009278A7">
      <w:pPr>
        <w:pStyle w:val="BulletsL1"/>
        <w:numPr>
          <w:ilvl w:val="0"/>
          <w:numId w:val="0"/>
        </w:numPr>
        <w:rPr>
          <w:rFonts w:eastAsia="Arial" w:cs="Arial"/>
          <w:b/>
          <w:lang w:val="en-GB"/>
        </w:rPr>
      </w:pPr>
      <w:r w:rsidRPr="007246FE">
        <w:rPr>
          <w:rFonts w:eastAsia="Arial" w:cs="Arial"/>
          <w:b/>
          <w:lang w:val="en-GB"/>
        </w:rPr>
        <w:t>KPI 2 TEQSA’s communication with higher education providers is clear, targeted and</w:t>
      </w:r>
      <w:r>
        <w:rPr>
          <w:rFonts w:eastAsia="Arial" w:cs="Arial"/>
          <w:b/>
          <w:lang w:val="en-GB"/>
        </w:rPr>
        <w:t xml:space="preserve"> </w:t>
      </w:r>
      <w:r w:rsidRPr="007246FE">
        <w:rPr>
          <w:rFonts w:eastAsia="Arial" w:cs="Arial"/>
          <w:b/>
          <w:lang w:val="en-GB"/>
        </w:rPr>
        <w:t>effective</w:t>
      </w:r>
      <w:r w:rsidR="00964FEF">
        <w:rPr>
          <w:rFonts w:eastAsia="Arial" w:cs="Arial"/>
          <w:b/>
          <w:lang w:val="en-GB"/>
        </w:rPr>
        <w:t>.</w:t>
      </w:r>
      <w:r>
        <w:rPr>
          <w:rFonts w:eastAsia="Arial" w:cs="Arial"/>
          <w:b/>
          <w:lang w:val="en-GB"/>
        </w:rPr>
        <w:t xml:space="preserve"> </w:t>
      </w:r>
    </w:p>
    <w:p w14:paraId="3BDB36EF" w14:textId="3B7D93C6" w:rsidR="007246FE" w:rsidRPr="00164D36" w:rsidRDefault="007246FE" w:rsidP="009278A7">
      <w:pPr>
        <w:pStyle w:val="BulletsL1"/>
        <w:numPr>
          <w:ilvl w:val="0"/>
          <w:numId w:val="0"/>
        </w:numPr>
        <w:ind w:left="360"/>
        <w:rPr>
          <w:rFonts w:eastAsia="Arial" w:cs="Arial"/>
        </w:rPr>
      </w:pPr>
      <w:r w:rsidRPr="00164D36">
        <w:rPr>
          <w:rFonts w:eastAsia="Arial" w:cs="Arial"/>
        </w:rPr>
        <w:t>TEQSA pays considerable attention to communication with providers and other stakeholders who have an interest in its work</w:t>
      </w:r>
      <w:r>
        <w:rPr>
          <w:rFonts w:eastAsia="Arial" w:cs="Arial"/>
        </w:rPr>
        <w:t xml:space="preserve">. </w:t>
      </w:r>
      <w:r w:rsidRPr="00164D36">
        <w:rPr>
          <w:rFonts w:eastAsia="Arial" w:cs="Arial"/>
        </w:rPr>
        <w:t>Specific performance indicators include</w:t>
      </w:r>
      <w:r>
        <w:rPr>
          <w:rFonts w:eastAsia="Arial" w:cs="Arial"/>
        </w:rPr>
        <w:t>:</w:t>
      </w:r>
    </w:p>
    <w:p w14:paraId="63D74A9C" w14:textId="6177335E" w:rsidR="007246FE" w:rsidRPr="00164D36" w:rsidRDefault="007246FE" w:rsidP="007246FE">
      <w:pPr>
        <w:pStyle w:val="ListParagraph"/>
        <w:widowControl w:val="0"/>
        <w:numPr>
          <w:ilvl w:val="0"/>
          <w:numId w:val="29"/>
        </w:numPr>
        <w:spacing w:before="0" w:after="0" w:line="240" w:lineRule="auto"/>
        <w:contextualSpacing w:val="0"/>
        <w:rPr>
          <w:rFonts w:eastAsia="Arial" w:cs="Arial"/>
        </w:rPr>
      </w:pPr>
      <w:r w:rsidRPr="00164D36">
        <w:rPr>
          <w:rFonts w:eastAsia="Arial" w:cs="Arial"/>
        </w:rPr>
        <w:t xml:space="preserve">TEQSA’s decisions are provided in a timely manner, clearly articulating the reasons for decisions </w:t>
      </w:r>
      <w:r w:rsidR="005D6CAE">
        <w:rPr>
          <w:rFonts w:eastAsia="Arial" w:cs="Arial"/>
        </w:rPr>
        <w:t>(for example, TEQSA publishes the National Register on a monthly basis, updating decisions and sharing decision</w:t>
      </w:r>
      <w:r w:rsidR="009278A7">
        <w:rPr>
          <w:rFonts w:eastAsia="Arial" w:cs="Arial"/>
        </w:rPr>
        <w:t>-</w:t>
      </w:r>
      <w:r w:rsidR="005D6CAE">
        <w:rPr>
          <w:rFonts w:eastAsia="Arial" w:cs="Arial"/>
        </w:rPr>
        <w:t>related information such as conditions and shorter approval periods)</w:t>
      </w:r>
      <w:r w:rsidR="00A642E7">
        <w:rPr>
          <w:rFonts w:eastAsia="Arial" w:cs="Arial"/>
        </w:rPr>
        <w:t>.</w:t>
      </w:r>
    </w:p>
    <w:p w14:paraId="55563011" w14:textId="4069D9D8" w:rsidR="007246FE" w:rsidRPr="00164D36" w:rsidRDefault="007246FE" w:rsidP="007246FE">
      <w:pPr>
        <w:pStyle w:val="ListParagraph"/>
        <w:widowControl w:val="0"/>
        <w:numPr>
          <w:ilvl w:val="0"/>
          <w:numId w:val="29"/>
        </w:numPr>
        <w:spacing w:before="0" w:after="0" w:line="240" w:lineRule="auto"/>
        <w:contextualSpacing w:val="0"/>
        <w:rPr>
          <w:rFonts w:eastAsia="Arial" w:cs="Arial"/>
        </w:rPr>
      </w:pPr>
      <w:r w:rsidRPr="00164D36">
        <w:rPr>
          <w:rFonts w:eastAsia="Arial" w:cs="Arial"/>
        </w:rPr>
        <w:t>TEQSA gives all higher education providers a reasonable opportunity to address matters relevant to a decision by TEQSA before mak</w:t>
      </w:r>
      <w:r w:rsidR="009278A7">
        <w:rPr>
          <w:rFonts w:eastAsia="Arial" w:cs="Arial"/>
        </w:rPr>
        <w:t>ing</w:t>
      </w:r>
      <w:r w:rsidRPr="00164D36">
        <w:rPr>
          <w:rFonts w:eastAsia="Arial" w:cs="Arial"/>
        </w:rPr>
        <w:t xml:space="preserve"> a decision that affects the provider</w:t>
      </w:r>
      <w:r w:rsidR="005D6CAE">
        <w:rPr>
          <w:rFonts w:eastAsia="Arial" w:cs="Arial"/>
        </w:rPr>
        <w:t xml:space="preserve"> (for example there is a defined process to ensure procedural fairness for proposed negative decisions)</w:t>
      </w:r>
      <w:r w:rsidR="00A642E7">
        <w:rPr>
          <w:rFonts w:eastAsia="Arial" w:cs="Arial"/>
        </w:rPr>
        <w:t>.</w:t>
      </w:r>
    </w:p>
    <w:p w14:paraId="667EDD81" w14:textId="50F837EE" w:rsidR="007246FE" w:rsidRPr="00164D36" w:rsidRDefault="007246FE" w:rsidP="007246FE">
      <w:pPr>
        <w:pStyle w:val="ListParagraph"/>
        <w:widowControl w:val="0"/>
        <w:numPr>
          <w:ilvl w:val="0"/>
          <w:numId w:val="29"/>
        </w:numPr>
        <w:spacing w:before="0" w:after="0" w:line="240" w:lineRule="auto"/>
        <w:contextualSpacing w:val="0"/>
        <w:rPr>
          <w:rFonts w:eastAsia="Arial" w:cs="Arial"/>
        </w:rPr>
      </w:pPr>
      <w:r w:rsidRPr="00164D36">
        <w:rPr>
          <w:rFonts w:eastAsia="Arial" w:cs="Arial"/>
        </w:rPr>
        <w:t>Specific consultation with the sector occurs before proposed changes are made to TEQSA’s practices</w:t>
      </w:r>
      <w:r w:rsidR="00B31C21">
        <w:rPr>
          <w:rFonts w:eastAsia="Arial" w:cs="Arial"/>
        </w:rPr>
        <w:t xml:space="preserve"> (for example the ‘beta’ approach to guidance notes, which are publishe</w:t>
      </w:r>
      <w:r w:rsidR="009278A7">
        <w:rPr>
          <w:rFonts w:eastAsia="Arial" w:cs="Arial"/>
        </w:rPr>
        <w:t>d</w:t>
      </w:r>
      <w:r w:rsidR="00B31C21">
        <w:rPr>
          <w:rFonts w:eastAsia="Arial" w:cs="Arial"/>
        </w:rPr>
        <w:t xml:space="preserve"> for consultation)</w:t>
      </w:r>
      <w:r w:rsidR="00A642E7">
        <w:rPr>
          <w:rFonts w:eastAsia="Arial" w:cs="Arial"/>
        </w:rPr>
        <w:t>.</w:t>
      </w:r>
    </w:p>
    <w:p w14:paraId="2C049C32" w14:textId="4A41F40D" w:rsidR="007246FE" w:rsidRPr="00164D36" w:rsidRDefault="007246FE" w:rsidP="007246FE">
      <w:pPr>
        <w:pStyle w:val="ListParagraph"/>
        <w:widowControl w:val="0"/>
        <w:numPr>
          <w:ilvl w:val="0"/>
          <w:numId w:val="29"/>
        </w:numPr>
        <w:spacing w:before="0" w:after="0" w:line="240" w:lineRule="auto"/>
        <w:contextualSpacing w:val="0"/>
        <w:rPr>
          <w:rFonts w:eastAsia="Arial" w:cs="Arial"/>
        </w:rPr>
      </w:pPr>
      <w:r w:rsidRPr="00164D36">
        <w:rPr>
          <w:rFonts w:eastAsia="Arial" w:cs="Arial"/>
        </w:rPr>
        <w:t xml:space="preserve">Comprehensive current guidance material for regulatory policies and processes </w:t>
      </w:r>
      <w:r w:rsidR="00964FEF">
        <w:rPr>
          <w:rFonts w:eastAsia="Arial" w:cs="Arial"/>
        </w:rPr>
        <w:t xml:space="preserve">is publically available and </w:t>
      </w:r>
      <w:r w:rsidRPr="00164D36">
        <w:rPr>
          <w:rFonts w:eastAsia="Arial" w:cs="Arial"/>
        </w:rPr>
        <w:t xml:space="preserve">updated regularly, </w:t>
      </w:r>
      <w:r w:rsidR="00964FEF">
        <w:rPr>
          <w:rFonts w:eastAsia="Arial" w:cs="Arial"/>
        </w:rPr>
        <w:t>and includes</w:t>
      </w:r>
      <w:r w:rsidRPr="00164D36">
        <w:rPr>
          <w:rFonts w:eastAsia="Arial" w:cs="Arial"/>
        </w:rPr>
        <w:t xml:space="preserve"> guidance on how TEQSA interprets particular risks and the types of scenarios that tend to reduce risk</w:t>
      </w:r>
      <w:r w:rsidR="00B479FD">
        <w:rPr>
          <w:rFonts w:eastAsia="Arial" w:cs="Arial"/>
        </w:rPr>
        <w:t xml:space="preserve"> (for example, through the list of extensive guidance notes and application guides available on the TEQSA website, as well as the published Risk Assessment Framework)</w:t>
      </w:r>
      <w:r w:rsidR="00A642E7">
        <w:rPr>
          <w:rFonts w:eastAsia="Arial" w:cs="Arial"/>
        </w:rPr>
        <w:t>.</w:t>
      </w:r>
    </w:p>
    <w:p w14:paraId="47E8E715" w14:textId="7FECA6F9" w:rsidR="007246FE" w:rsidRDefault="007246FE" w:rsidP="007246FE">
      <w:pPr>
        <w:pStyle w:val="ListParagraph"/>
        <w:widowControl w:val="0"/>
        <w:numPr>
          <w:ilvl w:val="0"/>
          <w:numId w:val="29"/>
        </w:numPr>
        <w:spacing w:before="0" w:after="0" w:line="240" w:lineRule="auto"/>
        <w:contextualSpacing w:val="0"/>
        <w:rPr>
          <w:rFonts w:eastAsia="Arial" w:cs="Arial"/>
        </w:rPr>
      </w:pPr>
      <w:r w:rsidRPr="00164D36">
        <w:rPr>
          <w:rFonts w:eastAsia="Arial" w:cs="Arial"/>
        </w:rPr>
        <w:t xml:space="preserve">TEQSA has established and standardised communication processes </w:t>
      </w:r>
      <w:r w:rsidR="00B479FD">
        <w:rPr>
          <w:rFonts w:eastAsia="Arial" w:cs="Arial"/>
        </w:rPr>
        <w:t>(as defined in the Case Management Handbook)</w:t>
      </w:r>
      <w:r w:rsidR="00A642E7">
        <w:rPr>
          <w:rFonts w:eastAsia="Arial" w:cs="Arial"/>
        </w:rPr>
        <w:t>.</w:t>
      </w:r>
    </w:p>
    <w:p w14:paraId="4CF5DDF4" w14:textId="31F10BC1" w:rsidR="007246FE" w:rsidRPr="00164D36" w:rsidRDefault="007246FE" w:rsidP="007246FE">
      <w:pPr>
        <w:pStyle w:val="ListParagraph"/>
        <w:widowControl w:val="0"/>
        <w:numPr>
          <w:ilvl w:val="0"/>
          <w:numId w:val="29"/>
        </w:numPr>
        <w:spacing w:before="0" w:after="0" w:line="240" w:lineRule="auto"/>
        <w:contextualSpacing w:val="0"/>
        <w:rPr>
          <w:rFonts w:cs="Arial"/>
        </w:rPr>
      </w:pPr>
      <w:r w:rsidRPr="00164D36">
        <w:rPr>
          <w:rFonts w:eastAsia="Arial" w:cs="Arial"/>
        </w:rPr>
        <w:t>All general information that is required by providers is current and publicly available</w:t>
      </w:r>
      <w:r w:rsidR="00B479FD">
        <w:rPr>
          <w:rFonts w:eastAsia="Arial" w:cs="Arial"/>
        </w:rPr>
        <w:t xml:space="preserve"> (as well as guidance notes and application guides, other materials include samples screen shots for the online forms, and a YouTube tutorial for use of the provider portal)</w:t>
      </w:r>
      <w:r w:rsidRPr="00164D36">
        <w:rPr>
          <w:rFonts w:eastAsia="Arial" w:cs="Arial"/>
        </w:rPr>
        <w:t>.</w:t>
      </w:r>
    </w:p>
    <w:p w14:paraId="0F50C4DE" w14:textId="00557759" w:rsidR="007246FE" w:rsidRDefault="007246FE" w:rsidP="007246FE">
      <w:pPr>
        <w:ind w:left="360"/>
        <w:rPr>
          <w:rFonts w:cs="Arial"/>
        </w:rPr>
      </w:pPr>
    </w:p>
    <w:p w14:paraId="0CA614F3" w14:textId="77777777" w:rsidR="009278A7" w:rsidRDefault="007246FE" w:rsidP="007246FE">
      <w:pPr>
        <w:rPr>
          <w:rFonts w:eastAsia="Arial" w:cs="Arial"/>
          <w:b/>
        </w:rPr>
      </w:pPr>
      <w:r w:rsidRPr="007246FE">
        <w:rPr>
          <w:rFonts w:eastAsia="Arial" w:cs="Arial"/>
          <w:b/>
          <w:lang w:val="en-GB"/>
        </w:rPr>
        <w:lastRenderedPageBreak/>
        <w:t xml:space="preserve">KPI 3: </w:t>
      </w:r>
      <w:r w:rsidRPr="007246FE">
        <w:rPr>
          <w:rFonts w:eastAsia="Arial" w:cs="Arial"/>
          <w:b/>
        </w:rPr>
        <w:t>Regulatory actions undertaken by TEQSA are proportionate to the risks being managed</w:t>
      </w:r>
      <w:r w:rsidR="00964FEF">
        <w:rPr>
          <w:rFonts w:eastAsia="Arial" w:cs="Arial"/>
          <w:b/>
        </w:rPr>
        <w:t>.</w:t>
      </w:r>
      <w:r>
        <w:rPr>
          <w:rFonts w:eastAsia="Arial" w:cs="Arial"/>
          <w:b/>
        </w:rPr>
        <w:t xml:space="preserve"> </w:t>
      </w:r>
    </w:p>
    <w:p w14:paraId="30483E15" w14:textId="5A7E5F21" w:rsidR="007246FE" w:rsidRPr="00164D36" w:rsidRDefault="007246FE" w:rsidP="009278A7">
      <w:pPr>
        <w:ind w:left="360"/>
        <w:rPr>
          <w:rFonts w:eastAsia="Arial" w:cs="Arial"/>
        </w:rPr>
      </w:pPr>
      <w:r w:rsidRPr="00164D36">
        <w:rPr>
          <w:rFonts w:eastAsia="Arial" w:cs="Arial"/>
        </w:rPr>
        <w:t>TE</w:t>
      </w:r>
      <w:r w:rsidR="00964FEF">
        <w:rPr>
          <w:rFonts w:eastAsia="Arial" w:cs="Arial"/>
        </w:rPr>
        <w:t>QSA has developed and implemented</w:t>
      </w:r>
      <w:r w:rsidRPr="00164D36">
        <w:rPr>
          <w:rFonts w:eastAsia="Arial" w:cs="Arial"/>
        </w:rPr>
        <w:t xml:space="preserve"> an innovative standards-based risk modulated approach to regulation</w:t>
      </w:r>
      <w:r>
        <w:rPr>
          <w:rFonts w:eastAsia="Arial" w:cs="Arial"/>
        </w:rPr>
        <w:t xml:space="preserve">. </w:t>
      </w:r>
      <w:r w:rsidRPr="00164D36">
        <w:rPr>
          <w:rFonts w:eastAsia="Arial" w:cs="Arial"/>
        </w:rPr>
        <w:t>Specific performance indicators include</w:t>
      </w:r>
      <w:r>
        <w:rPr>
          <w:rFonts w:eastAsia="Arial" w:cs="Arial"/>
        </w:rPr>
        <w:t>:</w:t>
      </w:r>
    </w:p>
    <w:p w14:paraId="5E82840B" w14:textId="4F3F88ED" w:rsidR="007246FE" w:rsidRPr="00164D36" w:rsidRDefault="007246FE" w:rsidP="007246FE">
      <w:pPr>
        <w:pStyle w:val="ListParagraph"/>
        <w:widowControl w:val="0"/>
        <w:numPr>
          <w:ilvl w:val="0"/>
          <w:numId w:val="30"/>
        </w:numPr>
        <w:spacing w:before="0" w:after="0" w:line="240" w:lineRule="auto"/>
        <w:contextualSpacing w:val="0"/>
        <w:rPr>
          <w:rFonts w:eastAsia="Arial" w:cs="Arial"/>
        </w:rPr>
      </w:pPr>
      <w:r w:rsidRPr="00164D36">
        <w:rPr>
          <w:rFonts w:eastAsia="Arial" w:cs="Arial"/>
        </w:rPr>
        <w:t>A comprehensive capacity for multifactorial risk analysis of all provider types</w:t>
      </w:r>
      <w:r w:rsidR="004452C0">
        <w:rPr>
          <w:rFonts w:eastAsia="Arial" w:cs="Arial"/>
        </w:rPr>
        <w:t xml:space="preserve"> (as outlined in the published Risk Assessment Framework and supported by a risk team in TEQSA)</w:t>
      </w:r>
      <w:r w:rsidR="00A642E7">
        <w:rPr>
          <w:rFonts w:eastAsia="Arial" w:cs="Arial"/>
        </w:rPr>
        <w:t>.</w:t>
      </w:r>
    </w:p>
    <w:p w14:paraId="501080B9" w14:textId="54795F08" w:rsidR="007246FE" w:rsidRPr="00164D36" w:rsidRDefault="007246FE" w:rsidP="007246FE">
      <w:pPr>
        <w:pStyle w:val="ListParagraph"/>
        <w:widowControl w:val="0"/>
        <w:numPr>
          <w:ilvl w:val="0"/>
          <w:numId w:val="30"/>
        </w:numPr>
        <w:spacing w:before="0" w:after="0" w:line="240" w:lineRule="auto"/>
        <w:contextualSpacing w:val="0"/>
        <w:rPr>
          <w:rFonts w:eastAsia="Arial" w:cs="Arial"/>
        </w:rPr>
      </w:pPr>
      <w:r w:rsidRPr="00164D36">
        <w:rPr>
          <w:rFonts w:eastAsia="Arial" w:cs="Arial"/>
        </w:rPr>
        <w:t>Integration of risk analysis and regulatory decision making, by use of comprehensive detailed current data sets gathered and maintained to inform risk analyses and regulatory interventions</w:t>
      </w:r>
      <w:r w:rsidR="004452C0">
        <w:rPr>
          <w:rFonts w:eastAsia="Arial" w:cs="Arial"/>
        </w:rPr>
        <w:t xml:space="preserve"> (as outlined in the published Risk Assessment Framework)</w:t>
      </w:r>
      <w:r w:rsidR="00A642E7">
        <w:rPr>
          <w:rFonts w:eastAsia="Arial" w:cs="Arial"/>
        </w:rPr>
        <w:t>.</w:t>
      </w:r>
    </w:p>
    <w:p w14:paraId="2427142C" w14:textId="0FDAB5B3" w:rsidR="007246FE" w:rsidRPr="00164D36" w:rsidRDefault="007246FE" w:rsidP="007246FE">
      <w:pPr>
        <w:pStyle w:val="ListParagraph"/>
        <w:widowControl w:val="0"/>
        <w:numPr>
          <w:ilvl w:val="0"/>
          <w:numId w:val="30"/>
        </w:numPr>
        <w:spacing w:before="0" w:after="0" w:line="240" w:lineRule="auto"/>
        <w:contextualSpacing w:val="0"/>
        <w:rPr>
          <w:rFonts w:eastAsia="Arial" w:cs="Arial"/>
        </w:rPr>
      </w:pPr>
      <w:r w:rsidRPr="00164D36">
        <w:rPr>
          <w:rFonts w:eastAsia="Arial" w:cs="Arial"/>
        </w:rPr>
        <w:t>Progressive development of the scope and application of the ‘core plus’ model to further reduce burdens on demonstrated low-risk providers</w:t>
      </w:r>
      <w:r w:rsidR="00A642E7">
        <w:rPr>
          <w:rFonts w:eastAsia="Arial" w:cs="Arial"/>
        </w:rPr>
        <w:t>.</w:t>
      </w:r>
    </w:p>
    <w:p w14:paraId="0A3DA318" w14:textId="2C410CDF" w:rsidR="007246FE" w:rsidRPr="00164D36" w:rsidRDefault="00DE5622" w:rsidP="007246FE">
      <w:pPr>
        <w:pStyle w:val="ListParagraph"/>
        <w:widowControl w:val="0"/>
        <w:numPr>
          <w:ilvl w:val="0"/>
          <w:numId w:val="30"/>
        </w:numPr>
        <w:spacing w:before="0" w:after="0" w:line="240" w:lineRule="auto"/>
        <w:contextualSpacing w:val="0"/>
        <w:rPr>
          <w:rFonts w:eastAsia="Arial" w:cs="Arial"/>
        </w:rPr>
      </w:pPr>
      <w:r>
        <w:rPr>
          <w:rFonts w:eastAsia="Arial" w:cs="Arial"/>
        </w:rPr>
        <w:t>Development and continuous improvement of c</w:t>
      </w:r>
      <w:r w:rsidR="007246FE" w:rsidRPr="00164D36">
        <w:rPr>
          <w:rFonts w:eastAsia="Arial" w:cs="Arial"/>
        </w:rPr>
        <w:t>omprehensive quality assurance processes for the regulatory assessment and decision making process</w:t>
      </w:r>
      <w:r w:rsidR="00A642E7">
        <w:rPr>
          <w:rFonts w:eastAsia="Arial" w:cs="Arial"/>
        </w:rPr>
        <w:t xml:space="preserve"> (for example TEQSA has well defined internal review mechanisms built into assessment processes).</w:t>
      </w:r>
    </w:p>
    <w:p w14:paraId="79A691A7" w14:textId="77777777" w:rsidR="007246FE" w:rsidRDefault="007246FE" w:rsidP="007246FE">
      <w:pPr>
        <w:rPr>
          <w:rFonts w:eastAsia="Arial" w:cs="Arial"/>
          <w:b/>
        </w:rPr>
      </w:pPr>
    </w:p>
    <w:p w14:paraId="73062A30" w14:textId="77777777" w:rsidR="009278A7" w:rsidRDefault="007246FE" w:rsidP="007246FE">
      <w:pPr>
        <w:rPr>
          <w:rFonts w:eastAsia="Arial" w:cs="Arial"/>
          <w:b/>
        </w:rPr>
      </w:pPr>
      <w:r>
        <w:rPr>
          <w:rFonts w:eastAsia="Arial" w:cs="Arial"/>
          <w:b/>
        </w:rPr>
        <w:t xml:space="preserve">KPI 4: </w:t>
      </w:r>
      <w:r w:rsidR="00037600">
        <w:rPr>
          <w:rFonts w:eastAsia="Arial" w:cs="Arial"/>
          <w:b/>
        </w:rPr>
        <w:t>T</w:t>
      </w:r>
      <w:r w:rsidRPr="007246FE">
        <w:rPr>
          <w:rFonts w:eastAsia="Arial" w:cs="Arial"/>
          <w:b/>
        </w:rPr>
        <w:t>EQSA’s compliance and monitoring approaches are streamlined and coordinated</w:t>
      </w:r>
      <w:r w:rsidR="00055BA8">
        <w:rPr>
          <w:rFonts w:eastAsia="Arial" w:cs="Arial"/>
          <w:b/>
        </w:rPr>
        <w:t>.</w:t>
      </w:r>
      <w:r>
        <w:rPr>
          <w:rFonts w:eastAsia="Arial" w:cs="Arial"/>
          <w:b/>
        </w:rPr>
        <w:t xml:space="preserve"> </w:t>
      </w:r>
    </w:p>
    <w:p w14:paraId="47D14E1B" w14:textId="1F9F3899" w:rsidR="007246FE" w:rsidRPr="00D33086" w:rsidRDefault="007246FE" w:rsidP="009278A7">
      <w:pPr>
        <w:ind w:left="360"/>
        <w:rPr>
          <w:b/>
        </w:rPr>
      </w:pPr>
      <w:r w:rsidRPr="00164D36">
        <w:rPr>
          <w:rFonts w:eastAsia="Arial" w:cs="Arial"/>
        </w:rPr>
        <w:t>TEQSA is engaged in collaborations with other Commonwealth agencies and other regulators (e.g. ASQA, international agencies and professional bodies) to enhance, streamline and share data</w:t>
      </w:r>
      <w:r w:rsidR="009278A7">
        <w:rPr>
          <w:rFonts w:eastAsia="Arial" w:cs="Arial"/>
        </w:rPr>
        <w:t>,</w:t>
      </w:r>
      <w:r w:rsidRPr="00164D36">
        <w:rPr>
          <w:rFonts w:eastAsia="Arial" w:cs="Arial"/>
        </w:rPr>
        <w:t xml:space="preserve"> and to minimise regulatory impact</w:t>
      </w:r>
      <w:r>
        <w:rPr>
          <w:rFonts w:eastAsia="Arial" w:cs="Arial"/>
        </w:rPr>
        <w:t>. Specific performance indicators include:</w:t>
      </w:r>
    </w:p>
    <w:p w14:paraId="43AE3295" w14:textId="3A4B0160" w:rsidR="007246FE" w:rsidRPr="00164D36" w:rsidRDefault="007246FE" w:rsidP="007246FE">
      <w:pPr>
        <w:pStyle w:val="ListParagraph"/>
        <w:widowControl w:val="0"/>
        <w:numPr>
          <w:ilvl w:val="0"/>
          <w:numId w:val="31"/>
        </w:numPr>
        <w:spacing w:before="0" w:after="0" w:line="240" w:lineRule="auto"/>
        <w:contextualSpacing w:val="0"/>
        <w:rPr>
          <w:rFonts w:eastAsia="Arial" w:cs="Arial"/>
        </w:rPr>
      </w:pPr>
      <w:r w:rsidRPr="00164D36">
        <w:rPr>
          <w:rFonts w:eastAsia="Arial" w:cs="Arial"/>
        </w:rPr>
        <w:t>Collaboration with the Department of Education and Training to streamline and automate data collection on providers and enhance access and sharing</w:t>
      </w:r>
      <w:r w:rsidR="00507DB8">
        <w:rPr>
          <w:rFonts w:eastAsia="Arial" w:cs="Arial"/>
        </w:rPr>
        <w:t xml:space="preserve"> (for example TEQSA and the Department of Education and Training have been working together to implement a streamlined and seamless transition for providers from the TEQSA PIR process to the expanded Department of Education and Training Higher Education Information Systems (HEIMS) data collection). </w:t>
      </w:r>
    </w:p>
    <w:p w14:paraId="0CD750A1" w14:textId="016773E2" w:rsidR="007246FE" w:rsidRPr="00164D36" w:rsidRDefault="007246FE" w:rsidP="007246FE">
      <w:pPr>
        <w:pStyle w:val="ListParagraph"/>
        <w:widowControl w:val="0"/>
        <w:numPr>
          <w:ilvl w:val="0"/>
          <w:numId w:val="31"/>
        </w:numPr>
        <w:spacing w:before="0" w:after="0" w:line="240" w:lineRule="auto"/>
        <w:contextualSpacing w:val="0"/>
        <w:rPr>
          <w:rFonts w:eastAsia="Arial" w:cs="Arial"/>
        </w:rPr>
      </w:pPr>
      <w:r w:rsidRPr="00164D36">
        <w:rPr>
          <w:rFonts w:eastAsia="Arial" w:cs="Arial"/>
        </w:rPr>
        <w:t>Collaboration with professional bodies to enhance data sharing and thus reduce regulatory burden on providers that are regulated by bot</w:t>
      </w:r>
      <w:r w:rsidR="00507DB8">
        <w:rPr>
          <w:rFonts w:eastAsia="Arial" w:cs="Arial"/>
        </w:rPr>
        <w:t xml:space="preserve">h TEQSA and a professional body (for example, a recent pilot of a joint assessment </w:t>
      </w:r>
      <w:r w:rsidR="009278A7">
        <w:rPr>
          <w:rFonts w:eastAsia="Arial" w:cs="Arial"/>
        </w:rPr>
        <w:t xml:space="preserve">by </w:t>
      </w:r>
      <w:r w:rsidR="00507DB8">
        <w:rPr>
          <w:rFonts w:eastAsia="Arial" w:cs="Arial"/>
        </w:rPr>
        <w:t>TEQSA and a pro</w:t>
      </w:r>
      <w:r w:rsidR="009278A7">
        <w:rPr>
          <w:rFonts w:eastAsia="Arial" w:cs="Arial"/>
        </w:rPr>
        <w:t>fessional body</w:t>
      </w:r>
      <w:r w:rsidR="00507DB8">
        <w:rPr>
          <w:rFonts w:eastAsia="Arial" w:cs="Arial"/>
        </w:rPr>
        <w:t>).</w:t>
      </w:r>
    </w:p>
    <w:p w14:paraId="3B3CE371" w14:textId="75036F52" w:rsidR="007246FE" w:rsidRPr="00164D36" w:rsidRDefault="007246FE" w:rsidP="007246FE">
      <w:pPr>
        <w:pStyle w:val="ListParagraph"/>
        <w:widowControl w:val="0"/>
        <w:numPr>
          <w:ilvl w:val="0"/>
          <w:numId w:val="31"/>
        </w:numPr>
        <w:spacing w:before="0" w:after="0" w:line="240" w:lineRule="auto"/>
        <w:contextualSpacing w:val="0"/>
        <w:rPr>
          <w:rFonts w:eastAsia="Arial" w:cs="Arial"/>
        </w:rPr>
      </w:pPr>
      <w:r w:rsidRPr="00164D36">
        <w:rPr>
          <w:rFonts w:eastAsia="Arial" w:cs="Arial"/>
        </w:rPr>
        <w:t>Collaboration with ASQA to streamline regulatory processes for providers that are regulated by both TEQSA and ASQA</w:t>
      </w:r>
      <w:r w:rsidR="00507DB8">
        <w:rPr>
          <w:rFonts w:eastAsia="Arial" w:cs="Arial"/>
        </w:rPr>
        <w:t xml:space="preserve"> (for example, the pilot of a joint assessment of an application, and the alignment of registration expiry dates for TEQSA and CRICOS to reduce the need for multiple separate applications).</w:t>
      </w:r>
    </w:p>
    <w:p w14:paraId="29EE2D4F" w14:textId="74B1C8E1" w:rsidR="007246FE" w:rsidRPr="00164D36" w:rsidRDefault="007246FE" w:rsidP="007246FE">
      <w:pPr>
        <w:pStyle w:val="ListParagraph"/>
        <w:widowControl w:val="0"/>
        <w:numPr>
          <w:ilvl w:val="0"/>
          <w:numId w:val="31"/>
        </w:numPr>
        <w:spacing w:before="0" w:after="0" w:line="240" w:lineRule="auto"/>
        <w:contextualSpacing w:val="0"/>
        <w:rPr>
          <w:rFonts w:eastAsia="Arial" w:cs="Arial"/>
        </w:rPr>
      </w:pPr>
      <w:r w:rsidRPr="00164D36">
        <w:rPr>
          <w:rFonts w:eastAsia="Arial" w:cs="Arial"/>
        </w:rPr>
        <w:t xml:space="preserve">Specific interactions with international regulatory agencies as warranted for assessments of trans-national education from Australian providers </w:t>
      </w:r>
      <w:r w:rsidR="00273763">
        <w:rPr>
          <w:rFonts w:eastAsia="Arial" w:cs="Arial"/>
        </w:rPr>
        <w:t>(with</w:t>
      </w:r>
      <w:r w:rsidR="009278A7">
        <w:rPr>
          <w:rFonts w:eastAsia="Arial" w:cs="Arial"/>
        </w:rPr>
        <w:t>, for example, the Council</w:t>
      </w:r>
      <w:r w:rsidR="006811EA">
        <w:rPr>
          <w:rFonts w:eastAsia="Arial" w:cs="Arial"/>
        </w:rPr>
        <w:t xml:space="preserve"> for</w:t>
      </w:r>
      <w:r w:rsidR="009278A7">
        <w:rPr>
          <w:rFonts w:eastAsia="Arial" w:cs="Arial"/>
        </w:rPr>
        <w:t xml:space="preserve"> Private Education in Singapore)</w:t>
      </w:r>
      <w:r w:rsidR="00273763">
        <w:rPr>
          <w:rFonts w:eastAsia="Arial" w:cs="Arial"/>
        </w:rPr>
        <w:t>.</w:t>
      </w:r>
    </w:p>
    <w:p w14:paraId="314CFF93" w14:textId="5C62890A" w:rsidR="007246FE" w:rsidRPr="00164D36" w:rsidRDefault="007246FE" w:rsidP="007246FE">
      <w:pPr>
        <w:pStyle w:val="ListParagraph"/>
        <w:widowControl w:val="0"/>
        <w:numPr>
          <w:ilvl w:val="0"/>
          <w:numId w:val="31"/>
        </w:numPr>
        <w:spacing w:before="0" w:after="0" w:line="240" w:lineRule="auto"/>
        <w:contextualSpacing w:val="0"/>
        <w:rPr>
          <w:rFonts w:eastAsia="Arial" w:cs="Arial"/>
        </w:rPr>
      </w:pPr>
      <w:r w:rsidRPr="00164D36">
        <w:rPr>
          <w:rFonts w:eastAsia="Arial" w:cs="Arial"/>
        </w:rPr>
        <w:t xml:space="preserve">Demonstrated transparency of inspection and monitoring arrangements </w:t>
      </w:r>
      <w:r w:rsidR="00273763">
        <w:rPr>
          <w:rFonts w:eastAsia="Arial" w:cs="Arial"/>
        </w:rPr>
        <w:t>(for example, provider visits are always co-ordinated in advance with the provider).</w:t>
      </w:r>
    </w:p>
    <w:p w14:paraId="71F57601" w14:textId="63745599" w:rsidR="007246FE" w:rsidRPr="00164D36" w:rsidRDefault="007246FE" w:rsidP="007246FE">
      <w:pPr>
        <w:pStyle w:val="ListParagraph"/>
        <w:widowControl w:val="0"/>
        <w:numPr>
          <w:ilvl w:val="0"/>
          <w:numId w:val="31"/>
        </w:numPr>
        <w:spacing w:before="0" w:after="0" w:line="240" w:lineRule="auto"/>
        <w:contextualSpacing w:val="0"/>
        <w:rPr>
          <w:rFonts w:eastAsia="Arial" w:cs="Arial"/>
        </w:rPr>
      </w:pPr>
      <w:r w:rsidRPr="00164D36">
        <w:rPr>
          <w:rFonts w:eastAsia="Arial" w:cs="Arial"/>
        </w:rPr>
        <w:t>Evidence of collected information being acted upon, stored and re-used</w:t>
      </w:r>
      <w:r w:rsidR="00D66E35">
        <w:rPr>
          <w:rFonts w:eastAsia="Arial" w:cs="Arial"/>
        </w:rPr>
        <w:t xml:space="preserve"> (for example case managers re-use materials provided once by the provider for multiple purposes, through the Case Management System).</w:t>
      </w:r>
    </w:p>
    <w:p w14:paraId="1A3A9055" w14:textId="71657B75" w:rsidR="007246FE" w:rsidRDefault="004536F2" w:rsidP="007246FE">
      <w:pPr>
        <w:rPr>
          <w:rFonts w:eastAsia="Arial" w:cs="Arial"/>
        </w:rPr>
      </w:pPr>
      <w:r>
        <w:rPr>
          <w:rFonts w:eastAsia="Arial" w:cs="Arial"/>
        </w:rPr>
        <w:br/>
      </w:r>
      <w:r>
        <w:rPr>
          <w:rFonts w:eastAsia="Arial" w:cs="Arial"/>
        </w:rPr>
        <w:br/>
      </w:r>
      <w:r>
        <w:rPr>
          <w:rFonts w:eastAsia="Arial" w:cs="Arial"/>
        </w:rPr>
        <w:br/>
      </w:r>
      <w:r>
        <w:rPr>
          <w:rFonts w:eastAsia="Arial" w:cs="Arial"/>
        </w:rPr>
        <w:br/>
      </w:r>
      <w:r>
        <w:rPr>
          <w:rFonts w:eastAsia="Arial" w:cs="Arial"/>
        </w:rPr>
        <w:br/>
      </w:r>
      <w:r>
        <w:rPr>
          <w:rFonts w:eastAsia="Arial" w:cs="Arial"/>
        </w:rPr>
        <w:br/>
      </w:r>
      <w:r w:rsidR="009F022C">
        <w:rPr>
          <w:rFonts w:eastAsia="Arial" w:cs="Arial"/>
        </w:rPr>
        <w:br/>
      </w:r>
      <w:r>
        <w:rPr>
          <w:rFonts w:eastAsia="Arial" w:cs="Arial"/>
        </w:rPr>
        <w:br/>
      </w:r>
    </w:p>
    <w:p w14:paraId="2428DC3D" w14:textId="77777777" w:rsidR="006811EA" w:rsidRDefault="007246FE" w:rsidP="006811EA">
      <w:pPr>
        <w:rPr>
          <w:rFonts w:eastAsia="Arial" w:cs="Arial"/>
          <w:b/>
        </w:rPr>
      </w:pPr>
      <w:r w:rsidRPr="007246FE">
        <w:rPr>
          <w:rFonts w:eastAsia="Arial" w:cs="Arial"/>
          <w:b/>
          <w:lang w:val="en-GB"/>
        </w:rPr>
        <w:t xml:space="preserve">KPI 5: </w:t>
      </w:r>
      <w:r w:rsidRPr="007246FE">
        <w:rPr>
          <w:rFonts w:eastAsia="Arial" w:cs="Arial"/>
          <w:b/>
        </w:rPr>
        <w:t>TEQSA’s dealings with higher education providers are open, transparent and consistent</w:t>
      </w:r>
      <w:r w:rsidR="00055BA8">
        <w:rPr>
          <w:rFonts w:eastAsia="Arial" w:cs="Arial"/>
          <w:b/>
        </w:rPr>
        <w:t>.</w:t>
      </w:r>
      <w:r>
        <w:rPr>
          <w:rFonts w:eastAsia="Arial" w:cs="Arial"/>
          <w:b/>
        </w:rPr>
        <w:t xml:space="preserve"> </w:t>
      </w:r>
    </w:p>
    <w:p w14:paraId="7D49AC11" w14:textId="62C6F2A7" w:rsidR="007246FE" w:rsidRPr="008C259D" w:rsidRDefault="007246FE" w:rsidP="006811EA">
      <w:pPr>
        <w:ind w:left="360"/>
        <w:rPr>
          <w:rFonts w:eastAsia="Arial" w:cs="Arial"/>
        </w:rPr>
      </w:pPr>
      <w:r w:rsidRPr="009E70A0">
        <w:rPr>
          <w:rFonts w:eastAsia="Arial" w:cs="Arial"/>
        </w:rPr>
        <w:t xml:space="preserve">TEQSA is open and transparent in its dealings, as evident from </w:t>
      </w:r>
      <w:r>
        <w:rPr>
          <w:rFonts w:eastAsia="Arial" w:cs="Arial"/>
        </w:rPr>
        <w:t>the following performance indicators:</w:t>
      </w:r>
    </w:p>
    <w:p w14:paraId="0E5B053C" w14:textId="1FE0BB1C" w:rsidR="007246FE" w:rsidRPr="009E70A0" w:rsidRDefault="007246FE" w:rsidP="007246FE">
      <w:pPr>
        <w:pStyle w:val="ListParagraph"/>
        <w:widowControl w:val="0"/>
        <w:numPr>
          <w:ilvl w:val="0"/>
          <w:numId w:val="32"/>
        </w:numPr>
        <w:spacing w:before="0" w:after="0" w:line="240" w:lineRule="auto"/>
        <w:contextualSpacing w:val="0"/>
        <w:rPr>
          <w:rFonts w:eastAsia="Arial" w:cs="Arial"/>
        </w:rPr>
      </w:pPr>
      <w:r w:rsidRPr="009E70A0">
        <w:rPr>
          <w:rFonts w:eastAsia="Arial" w:cs="Arial"/>
        </w:rPr>
        <w:t>A clear publicly available risk framework and articulated risk analysis process</w:t>
      </w:r>
      <w:r w:rsidR="00F07B79">
        <w:rPr>
          <w:rFonts w:eastAsia="Arial" w:cs="Arial"/>
        </w:rPr>
        <w:t xml:space="preserve"> (as provided by the published Risk Assessment Framework).</w:t>
      </w:r>
    </w:p>
    <w:p w14:paraId="54E4886A" w14:textId="48864B12" w:rsidR="007246FE" w:rsidRPr="009E70A0" w:rsidRDefault="007246FE" w:rsidP="007246FE">
      <w:pPr>
        <w:pStyle w:val="ListParagraph"/>
        <w:widowControl w:val="0"/>
        <w:numPr>
          <w:ilvl w:val="0"/>
          <w:numId w:val="32"/>
        </w:numPr>
        <w:spacing w:before="0" w:after="0" w:line="240" w:lineRule="auto"/>
        <w:contextualSpacing w:val="0"/>
        <w:rPr>
          <w:rFonts w:eastAsia="Arial" w:cs="Arial"/>
        </w:rPr>
      </w:pPr>
      <w:r w:rsidRPr="009E70A0">
        <w:rPr>
          <w:rFonts w:eastAsia="Arial" w:cs="Arial"/>
        </w:rPr>
        <w:t>Transparency in the results of the regulatory decision making process</w:t>
      </w:r>
      <w:r w:rsidR="00F07B79">
        <w:rPr>
          <w:rFonts w:eastAsia="Arial" w:cs="Arial"/>
        </w:rPr>
        <w:t xml:space="preserve"> (for example, TEQSA publishes the National Register on a monthly basis, updating decisions and sharing decision related information such as conditions and shorter approval periods).</w:t>
      </w:r>
    </w:p>
    <w:p w14:paraId="5E523E7F" w14:textId="6166794D" w:rsidR="007246FE" w:rsidRPr="009E70A0" w:rsidRDefault="007246FE" w:rsidP="007246FE">
      <w:pPr>
        <w:pStyle w:val="ListParagraph"/>
        <w:widowControl w:val="0"/>
        <w:numPr>
          <w:ilvl w:val="0"/>
          <w:numId w:val="32"/>
        </w:numPr>
        <w:spacing w:before="0" w:after="0" w:line="240" w:lineRule="auto"/>
        <w:contextualSpacing w:val="0"/>
        <w:rPr>
          <w:rFonts w:eastAsia="Arial" w:cs="Arial"/>
        </w:rPr>
      </w:pPr>
      <w:r w:rsidRPr="009E70A0">
        <w:rPr>
          <w:rFonts w:eastAsia="Arial" w:cs="Arial"/>
        </w:rPr>
        <w:t>Public sharing of aggregate observations of performance and risks derived from regulatory experience with the sector, by publication of analytical reports</w:t>
      </w:r>
      <w:r w:rsidR="00F07B79">
        <w:rPr>
          <w:rFonts w:eastAsia="Arial" w:cs="Arial"/>
        </w:rPr>
        <w:t xml:space="preserve"> (for example the publication of various risk based analytical reports, such as the recent </w:t>
      </w:r>
      <w:r w:rsidR="00F07B79" w:rsidRPr="006811EA">
        <w:rPr>
          <w:rFonts w:eastAsia="Arial" w:cs="Arial"/>
          <w:i/>
        </w:rPr>
        <w:t>‘A risk and standards based approach to quality assurance in Australia’s diverse higher education sector</w:t>
      </w:r>
      <w:r w:rsidR="00F07B79">
        <w:rPr>
          <w:rFonts w:eastAsia="Arial" w:cs="Arial"/>
        </w:rPr>
        <w:t>’ paper developed in consultation with sector peak bodies).</w:t>
      </w:r>
    </w:p>
    <w:p w14:paraId="3DE4A3FF" w14:textId="77777777" w:rsidR="006811EA" w:rsidRDefault="007246FE" w:rsidP="006811EA">
      <w:pPr>
        <w:rPr>
          <w:rFonts w:eastAsia="Arial" w:cs="Arial"/>
          <w:b/>
        </w:rPr>
      </w:pPr>
      <w:r>
        <w:rPr>
          <w:rFonts w:eastAsia="Arial" w:cs="Arial"/>
          <w:b/>
        </w:rPr>
        <w:br/>
      </w:r>
      <w:r w:rsidRPr="007246FE">
        <w:rPr>
          <w:rFonts w:eastAsia="Arial" w:cs="Arial"/>
          <w:b/>
        </w:rPr>
        <w:t>KPI 6: TEQSA’s regulatory framework continues to be improved in consultation with stakeholders</w:t>
      </w:r>
      <w:r w:rsidR="00055BA8">
        <w:rPr>
          <w:rFonts w:eastAsia="Arial" w:cs="Arial"/>
          <w:b/>
        </w:rPr>
        <w:t>.</w:t>
      </w:r>
      <w:r>
        <w:rPr>
          <w:rFonts w:eastAsia="Arial" w:cs="Arial"/>
          <w:b/>
        </w:rPr>
        <w:t xml:space="preserve"> </w:t>
      </w:r>
    </w:p>
    <w:p w14:paraId="3A8E2798" w14:textId="07744F92" w:rsidR="007246FE" w:rsidRPr="00D33086" w:rsidRDefault="007246FE" w:rsidP="006811EA">
      <w:pPr>
        <w:ind w:left="360"/>
        <w:rPr>
          <w:b/>
        </w:rPr>
      </w:pPr>
      <w:r w:rsidRPr="009E70A0">
        <w:rPr>
          <w:rFonts w:eastAsia="Arial" w:cs="Arial"/>
        </w:rPr>
        <w:t xml:space="preserve">TEQSA is committed to continuous improvement of its approach and processes, as evident from </w:t>
      </w:r>
      <w:r>
        <w:rPr>
          <w:rFonts w:eastAsia="Arial" w:cs="Arial"/>
        </w:rPr>
        <w:t>the following performance indicators:</w:t>
      </w:r>
      <w:r w:rsidRPr="009E70A0">
        <w:rPr>
          <w:rFonts w:eastAsia="Arial" w:cs="Arial"/>
        </w:rPr>
        <w:t xml:space="preserve"> </w:t>
      </w:r>
    </w:p>
    <w:p w14:paraId="7A91D01A" w14:textId="5909C6E1" w:rsidR="007246FE" w:rsidRPr="009E70A0" w:rsidRDefault="007246FE" w:rsidP="007246FE">
      <w:pPr>
        <w:pStyle w:val="ListParagraph"/>
        <w:widowControl w:val="0"/>
        <w:numPr>
          <w:ilvl w:val="0"/>
          <w:numId w:val="33"/>
        </w:numPr>
        <w:spacing w:before="0" w:after="0" w:line="240" w:lineRule="auto"/>
        <w:contextualSpacing w:val="0"/>
        <w:rPr>
          <w:rFonts w:eastAsia="Arial" w:cs="Arial"/>
        </w:rPr>
      </w:pPr>
      <w:r w:rsidRPr="009E70A0">
        <w:rPr>
          <w:rFonts w:eastAsia="Arial" w:cs="Arial"/>
        </w:rPr>
        <w:t xml:space="preserve">Well established, productive consultative mechanisms with stakeholders, and use of a variety of media and channels to convey information </w:t>
      </w:r>
      <w:r w:rsidR="006811EA">
        <w:rPr>
          <w:rFonts w:eastAsia="Arial" w:cs="Arial"/>
        </w:rPr>
        <w:t>to</w:t>
      </w:r>
      <w:r w:rsidRPr="009E70A0">
        <w:rPr>
          <w:rFonts w:eastAsia="Arial" w:cs="Arial"/>
        </w:rPr>
        <w:t xml:space="preserve"> stakeholders</w:t>
      </w:r>
      <w:r w:rsidR="00CE29C6">
        <w:rPr>
          <w:rFonts w:eastAsia="Arial" w:cs="Arial"/>
        </w:rPr>
        <w:t xml:space="preserve"> (for example the recent consultation for the ‘core plus’ approach for course accreditation and re-accreditation).</w:t>
      </w:r>
    </w:p>
    <w:p w14:paraId="46E96623" w14:textId="02853A6E" w:rsidR="007246FE" w:rsidRPr="009E70A0" w:rsidRDefault="007246FE" w:rsidP="007246FE">
      <w:pPr>
        <w:pStyle w:val="ListParagraph"/>
        <w:widowControl w:val="0"/>
        <w:numPr>
          <w:ilvl w:val="0"/>
          <w:numId w:val="33"/>
        </w:numPr>
        <w:spacing w:before="0" w:after="0" w:line="240" w:lineRule="auto"/>
        <w:contextualSpacing w:val="0"/>
        <w:rPr>
          <w:rFonts w:eastAsia="Arial" w:cs="Arial"/>
        </w:rPr>
      </w:pPr>
      <w:r w:rsidRPr="009E70A0">
        <w:rPr>
          <w:rFonts w:eastAsia="Arial" w:cs="Arial"/>
        </w:rPr>
        <w:t xml:space="preserve">Positive collaboration with the Higher Education (HE) Standards Panel </w:t>
      </w:r>
      <w:r w:rsidR="00CE29C6">
        <w:rPr>
          <w:rFonts w:eastAsia="Arial" w:cs="Arial"/>
        </w:rPr>
        <w:t>(as illustrated by the contributions made by TEQSA to the development of the new standards).</w:t>
      </w:r>
    </w:p>
    <w:p w14:paraId="03002DC0" w14:textId="6155EEE3" w:rsidR="007246FE" w:rsidRPr="009E70A0" w:rsidRDefault="007246FE" w:rsidP="007246FE">
      <w:pPr>
        <w:pStyle w:val="ListParagraph"/>
        <w:widowControl w:val="0"/>
        <w:numPr>
          <w:ilvl w:val="0"/>
          <w:numId w:val="33"/>
        </w:numPr>
        <w:spacing w:before="0" w:after="0" w:line="240" w:lineRule="auto"/>
        <w:contextualSpacing w:val="0"/>
        <w:rPr>
          <w:rFonts w:eastAsia="Arial" w:cs="Arial"/>
        </w:rPr>
      </w:pPr>
      <w:r w:rsidRPr="009E70A0">
        <w:rPr>
          <w:rFonts w:eastAsia="Arial" w:cs="Arial"/>
        </w:rPr>
        <w:t xml:space="preserve">Regular engagement with the Minister of and the Department of Education and Training </w:t>
      </w:r>
      <w:r w:rsidR="00CE10EA">
        <w:rPr>
          <w:rFonts w:eastAsia="Arial" w:cs="Arial"/>
        </w:rPr>
        <w:t>(for</w:t>
      </w:r>
      <w:r w:rsidR="00CE29C6">
        <w:rPr>
          <w:rFonts w:eastAsia="Arial" w:cs="Arial"/>
        </w:rPr>
        <w:t xml:space="preserve"> example, for a range of matters including changes to the TEQSA Act for delegations and extensions to proposed amendments to the ESOS Act).</w:t>
      </w:r>
    </w:p>
    <w:p w14:paraId="38E7DAD8" w14:textId="6D7E36C9" w:rsidR="007246FE" w:rsidRDefault="007246FE" w:rsidP="007246FE">
      <w:pPr>
        <w:rPr>
          <w:rFonts w:eastAsia="Arial"/>
        </w:rPr>
      </w:pPr>
      <w:r>
        <w:rPr>
          <w:rFonts w:eastAsia="Arial"/>
        </w:rPr>
        <w:br w:type="page"/>
      </w:r>
    </w:p>
    <w:p w14:paraId="603A4478" w14:textId="431BCDB6" w:rsidR="000E009B" w:rsidRPr="000E009B" w:rsidRDefault="007246FE" w:rsidP="000E009B">
      <w:pPr>
        <w:pStyle w:val="Heading2"/>
        <w:rPr>
          <w:noProof/>
          <w:lang w:eastAsia="en-AU"/>
        </w:rPr>
      </w:pPr>
      <w:bookmarkStart w:id="5" w:name="_Toc436247130"/>
      <w:bookmarkStart w:id="6" w:name="_Toc436247902"/>
      <w:r>
        <w:rPr>
          <w:noProof/>
          <w:lang w:eastAsia="en-AU"/>
        </w:rPr>
        <w:t>Section 2</w:t>
      </w:r>
      <w:r w:rsidR="00DC0FF0">
        <w:rPr>
          <w:noProof/>
          <w:lang w:eastAsia="en-AU"/>
        </w:rPr>
        <w:t xml:space="preserve"> - </w:t>
      </w:r>
      <w:r w:rsidR="000E009B" w:rsidRPr="000E009B">
        <w:rPr>
          <w:noProof/>
          <w:lang w:eastAsia="en-AU"/>
        </w:rPr>
        <w:t xml:space="preserve">TEQSA’s Regulatory Performance Framework aligned to </w:t>
      </w:r>
      <w:r w:rsidR="00FA5F94">
        <w:rPr>
          <w:noProof/>
          <w:lang w:eastAsia="en-AU"/>
        </w:rPr>
        <w:t xml:space="preserve">the Key Strategies in the </w:t>
      </w:r>
      <w:r w:rsidR="000E009B" w:rsidRPr="000E009B">
        <w:rPr>
          <w:noProof/>
          <w:lang w:eastAsia="en-AU"/>
        </w:rPr>
        <w:t>Corporate Plan</w:t>
      </w:r>
      <w:bookmarkEnd w:id="5"/>
      <w:bookmarkEnd w:id="6"/>
      <w:r w:rsidR="000E009B" w:rsidRPr="000E009B">
        <w:rPr>
          <w:noProof/>
          <w:lang w:eastAsia="en-AU"/>
        </w:rPr>
        <w:t xml:space="preserve"> </w:t>
      </w:r>
    </w:p>
    <w:p w14:paraId="771B1C93" w14:textId="3284FD02" w:rsidR="000E009B" w:rsidRPr="00571A10" w:rsidRDefault="000E009B" w:rsidP="004536F2">
      <w:pPr>
        <w:pStyle w:val="Heading3"/>
        <w:numPr>
          <w:ilvl w:val="0"/>
          <w:numId w:val="40"/>
        </w:numPr>
      </w:pPr>
      <w:bookmarkStart w:id="7" w:name="_Toc436247131"/>
      <w:bookmarkStart w:id="8" w:name="_Toc436247903"/>
      <w:r w:rsidRPr="00571A10">
        <w:t>Effective Oversight of the Quality and Reputation of Australian Higher Education</w:t>
      </w:r>
      <w:bookmarkEnd w:id="7"/>
      <w:bookmarkEnd w:id="8"/>
    </w:p>
    <w:tbl>
      <w:tblPr>
        <w:tblStyle w:val="TEQSAtables"/>
        <w:tblW w:w="10348" w:type="dxa"/>
        <w:tblLook w:val="04A0" w:firstRow="1" w:lastRow="0" w:firstColumn="1" w:lastColumn="0" w:noHBand="0" w:noVBand="1"/>
      </w:tblPr>
      <w:tblGrid>
        <w:gridCol w:w="2437"/>
        <w:gridCol w:w="3092"/>
        <w:gridCol w:w="4819"/>
      </w:tblGrid>
      <w:tr w:rsidR="00FA5F94" w:rsidRPr="00AC2B54" w14:paraId="1BA5F7FE" w14:textId="0BBD88AE" w:rsidTr="008B2FF7">
        <w:trPr>
          <w:cnfStyle w:val="100000000000" w:firstRow="1" w:lastRow="0" w:firstColumn="0" w:lastColumn="0" w:oddVBand="0" w:evenVBand="0" w:oddHBand="0" w:evenHBand="0" w:firstRowFirstColumn="0" w:firstRowLastColumn="0" w:lastRowFirstColumn="0" w:lastRowLastColumn="0"/>
          <w:tblHeader/>
        </w:trPr>
        <w:tc>
          <w:tcPr>
            <w:tcW w:w="2437" w:type="dxa"/>
          </w:tcPr>
          <w:p w14:paraId="08F2B12E" w14:textId="3348791B" w:rsidR="00FA5F94" w:rsidRPr="00AC2B54" w:rsidRDefault="00F07B79" w:rsidP="00530EA3">
            <w:pPr>
              <w:jc w:val="left"/>
            </w:pPr>
            <w:bookmarkStart w:id="9" w:name="Corporate_Governance,_Management_and"/>
            <w:bookmarkEnd w:id="9"/>
            <w:r>
              <w:t xml:space="preserve">Corporate Plan </w:t>
            </w:r>
            <w:r w:rsidR="00FA5F94" w:rsidRPr="00AC2B54">
              <w:t>Strategies</w:t>
            </w:r>
          </w:p>
        </w:tc>
        <w:tc>
          <w:tcPr>
            <w:tcW w:w="3092" w:type="dxa"/>
          </w:tcPr>
          <w:p w14:paraId="6183E2F0" w14:textId="311C4279" w:rsidR="00FA5F94" w:rsidRPr="00AC2B54" w:rsidRDefault="001F7A6E" w:rsidP="000E009B">
            <w:pPr>
              <w:jc w:val="left"/>
            </w:pPr>
            <w:r w:rsidRPr="00AC2B54">
              <w:t xml:space="preserve">Corporate Plan </w:t>
            </w:r>
            <w:r w:rsidR="00FA5F94" w:rsidRPr="00AC2B54">
              <w:t>Performance Indicators</w:t>
            </w:r>
            <w:r w:rsidR="00FA5F94" w:rsidRPr="00AC2B54">
              <w:rPr>
                <w:i/>
                <w:color w:val="FF0000"/>
              </w:rPr>
              <w:t xml:space="preserve">  </w:t>
            </w:r>
          </w:p>
        </w:tc>
        <w:tc>
          <w:tcPr>
            <w:tcW w:w="4819" w:type="dxa"/>
          </w:tcPr>
          <w:p w14:paraId="01313489" w14:textId="790DF9C9" w:rsidR="00FA5F94" w:rsidRPr="005E4D00" w:rsidRDefault="00FA5F94" w:rsidP="00AC2B54">
            <w:pPr>
              <w:jc w:val="left"/>
            </w:pPr>
            <w:r w:rsidRPr="005E4D00">
              <w:t>Corresponding Regulator Performance Framework Performance Indicators</w:t>
            </w:r>
          </w:p>
        </w:tc>
      </w:tr>
      <w:tr w:rsidR="00FA5F94" w:rsidRPr="00AC2B54" w14:paraId="5370343F" w14:textId="57B91D85" w:rsidTr="008B2FF7">
        <w:tc>
          <w:tcPr>
            <w:tcW w:w="2437" w:type="dxa"/>
          </w:tcPr>
          <w:p w14:paraId="0C6CCF75" w14:textId="77777777" w:rsidR="00FA5F94" w:rsidRPr="00AC2B54" w:rsidRDefault="00FA5F94" w:rsidP="000E009B">
            <w:pPr>
              <w:pStyle w:val="BulletsL1"/>
              <w:numPr>
                <w:ilvl w:val="1"/>
                <w:numId w:val="17"/>
              </w:numPr>
              <w:jc w:val="left"/>
            </w:pPr>
            <w:r w:rsidRPr="00AC2B54">
              <w:t xml:space="preserve">Identify, monitor and respond to significant trends, incidents and risks to higher education that is delivered in or from Australia. </w:t>
            </w:r>
          </w:p>
          <w:p w14:paraId="455F7DD1" w14:textId="77777777" w:rsidR="00FA5F94" w:rsidRPr="00AC2B54" w:rsidRDefault="00FA5F94" w:rsidP="000E009B">
            <w:pPr>
              <w:pStyle w:val="BulletsL1"/>
              <w:numPr>
                <w:ilvl w:val="1"/>
                <w:numId w:val="17"/>
              </w:numPr>
              <w:jc w:val="left"/>
            </w:pPr>
            <w:r w:rsidRPr="00AC2B54">
              <w:t>Promote the role, importance and effectiveness of Australia’s quality assurance and regulatory system in maintaining the reputation of Australian higher education nationally and internationally</w:t>
            </w:r>
          </w:p>
          <w:p w14:paraId="7B6A8B3F" w14:textId="77777777" w:rsidR="00FA5F94" w:rsidRPr="00AC2B54" w:rsidRDefault="00FA5F94" w:rsidP="000E009B">
            <w:pPr>
              <w:pStyle w:val="BulletsL1"/>
              <w:numPr>
                <w:ilvl w:val="1"/>
                <w:numId w:val="17"/>
              </w:numPr>
              <w:jc w:val="left"/>
            </w:pPr>
            <w:r w:rsidRPr="00AC2B54">
              <w:t>Contribute to the enhancement of the national data collection and national sharing of the data about the quality of higher education</w:t>
            </w:r>
          </w:p>
        </w:tc>
        <w:tc>
          <w:tcPr>
            <w:tcW w:w="3092" w:type="dxa"/>
          </w:tcPr>
          <w:p w14:paraId="494C2F67" w14:textId="77777777" w:rsidR="00D00B07" w:rsidRPr="003641E1" w:rsidRDefault="00FA5F94" w:rsidP="000E009B">
            <w:pPr>
              <w:pStyle w:val="BulletsL1"/>
              <w:numPr>
                <w:ilvl w:val="1"/>
                <w:numId w:val="17"/>
              </w:numPr>
              <w:jc w:val="left"/>
            </w:pPr>
            <w:r w:rsidRPr="003641E1">
              <w:t xml:space="preserve">TEQSA has effective mechanisms to identify, monitor and respond to risks to higher education across the sector </w:t>
            </w:r>
          </w:p>
          <w:p w14:paraId="52BA7385" w14:textId="0AC36C5F" w:rsidR="00FA5F94" w:rsidRPr="003641E1" w:rsidRDefault="00FA5F94" w:rsidP="000E009B">
            <w:pPr>
              <w:pStyle w:val="BulletsL1"/>
              <w:numPr>
                <w:ilvl w:val="1"/>
                <w:numId w:val="17"/>
              </w:numPr>
              <w:jc w:val="left"/>
            </w:pPr>
            <w:r w:rsidRPr="003641E1">
              <w:t>Enhanced levels of information about the sector are available to the sector and stakeholders</w:t>
            </w:r>
          </w:p>
          <w:p w14:paraId="3F9966FF" w14:textId="77777777" w:rsidR="00FA5F94" w:rsidRPr="003641E1" w:rsidRDefault="00FA5F94" w:rsidP="000E009B">
            <w:pPr>
              <w:pStyle w:val="BulletsL1"/>
              <w:numPr>
                <w:ilvl w:val="1"/>
                <w:numId w:val="17"/>
              </w:numPr>
              <w:jc w:val="left"/>
            </w:pPr>
            <w:r w:rsidRPr="003641E1">
              <w:t>The role and effectiveness of TEQSA is better understood by stakeholders nationally and internationally</w:t>
            </w:r>
          </w:p>
          <w:p w14:paraId="7CF7D1BD" w14:textId="77777777" w:rsidR="00D00B07" w:rsidRPr="003641E1" w:rsidRDefault="00FA5F94" w:rsidP="000E009B">
            <w:pPr>
              <w:pStyle w:val="BulletsL1"/>
              <w:numPr>
                <w:ilvl w:val="1"/>
                <w:numId w:val="17"/>
              </w:numPr>
              <w:jc w:val="left"/>
            </w:pPr>
            <w:r w:rsidRPr="003641E1">
              <w:t>TEQSA collaborates in the development of national data collections</w:t>
            </w:r>
          </w:p>
          <w:p w14:paraId="734C5BF1" w14:textId="447B2D57" w:rsidR="00D00B07" w:rsidRPr="003641E1" w:rsidRDefault="00FA5F94" w:rsidP="001A7D2D">
            <w:pPr>
              <w:pStyle w:val="BulletsL1"/>
              <w:numPr>
                <w:ilvl w:val="1"/>
                <w:numId w:val="17"/>
              </w:numPr>
              <w:jc w:val="left"/>
            </w:pPr>
            <w:r w:rsidRPr="003641E1">
              <w:t>Consultation mechanisms and guidance resources are developed for transition to the revised Higher Education Standards Framework</w:t>
            </w:r>
          </w:p>
        </w:tc>
        <w:tc>
          <w:tcPr>
            <w:tcW w:w="4819" w:type="dxa"/>
          </w:tcPr>
          <w:p w14:paraId="5F311E98" w14:textId="77777777" w:rsidR="00D00B07" w:rsidRPr="00AC2B54" w:rsidRDefault="00FA5F94" w:rsidP="00AC2B54">
            <w:pPr>
              <w:pStyle w:val="BulletsL1"/>
              <w:numPr>
                <w:ilvl w:val="0"/>
                <w:numId w:val="0"/>
              </w:numPr>
              <w:jc w:val="left"/>
            </w:pPr>
            <w:r w:rsidRPr="00B23BC1">
              <w:rPr>
                <w:b/>
              </w:rPr>
              <w:t>Regulatory actions undertaken by TEQSA are proportionate to the risks being managed</w:t>
            </w:r>
            <w:r w:rsidRPr="00AC2B54">
              <w:t xml:space="preserve"> (KPI 3). TEQSA has</w:t>
            </w:r>
            <w:r w:rsidR="00D00B07" w:rsidRPr="00AC2B54">
              <w:t xml:space="preserve"> </w:t>
            </w:r>
          </w:p>
          <w:p w14:paraId="7B61C5AD" w14:textId="5CDE7916" w:rsidR="00FA5F94" w:rsidRPr="00AC2B54" w:rsidRDefault="00FA5F94" w:rsidP="00AC2B54">
            <w:pPr>
              <w:pStyle w:val="BulletsL1"/>
              <w:numPr>
                <w:ilvl w:val="0"/>
                <w:numId w:val="26"/>
              </w:numPr>
              <w:jc w:val="left"/>
            </w:pPr>
            <w:r w:rsidRPr="00AC2B54">
              <w:t xml:space="preserve">developed and implements an innovative standards-based, risk modulated approach to regulation, through the integration of risk analysis and regulatory decision making, by use of comprehensive detailed current data sets gathered and maintained to inform risk analyses and regulatory interventions,  </w:t>
            </w:r>
            <w:r w:rsidR="002F3BA7" w:rsidRPr="00AC2B54">
              <w:t xml:space="preserve">a clear and publically available Risk Assessment Framework, and the </w:t>
            </w:r>
            <w:r w:rsidRPr="00AC2B54">
              <w:t>progressive development of the scope and application of the ‘core plus’ model to further reduce burdens on demonstrated low-risk providers</w:t>
            </w:r>
            <w:r w:rsidR="004536F2">
              <w:t>.</w:t>
            </w:r>
            <w:r w:rsidRPr="00AC2B54">
              <w:t xml:space="preserve"> </w:t>
            </w:r>
            <w:r w:rsidR="00AC2B54">
              <w:br/>
            </w:r>
          </w:p>
          <w:p w14:paraId="5E738956" w14:textId="391B39A5" w:rsidR="002F3BA7" w:rsidRPr="00AC2B54" w:rsidRDefault="002F3BA7" w:rsidP="00AC2B54">
            <w:pPr>
              <w:pStyle w:val="BulletsL1"/>
              <w:numPr>
                <w:ilvl w:val="0"/>
                <w:numId w:val="0"/>
              </w:numPr>
              <w:jc w:val="left"/>
            </w:pPr>
            <w:r w:rsidRPr="00B23BC1">
              <w:rPr>
                <w:b/>
              </w:rPr>
              <w:t>TEQSA’s dealings with higher education providers are open, transparent and consistent</w:t>
            </w:r>
            <w:r w:rsidRPr="00AC2B54">
              <w:t xml:space="preserve"> (KPI 5) as demonstrated by </w:t>
            </w:r>
          </w:p>
          <w:p w14:paraId="18721DB1" w14:textId="77777777" w:rsidR="00FA5F94" w:rsidRPr="00AC2B54" w:rsidRDefault="002F3BA7" w:rsidP="00AC2B54">
            <w:pPr>
              <w:pStyle w:val="BulletsL1"/>
              <w:numPr>
                <w:ilvl w:val="0"/>
                <w:numId w:val="26"/>
              </w:numPr>
              <w:jc w:val="left"/>
            </w:pPr>
            <w:r w:rsidRPr="00AC2B54">
              <w:t>the transparency in the results of the regulatory decision making process (for example the monthly publication of the National Register and the publication of the outcome of AAT decisions or negotiations) as well as the public sharing of aggregate observations of performance and risks derived from regulatory experience with the sector, by publication of analytical reports (as an example).</w:t>
            </w:r>
          </w:p>
          <w:p w14:paraId="3EBE7033" w14:textId="66E50A63" w:rsidR="002F3BA7" w:rsidRPr="00AC2B54" w:rsidRDefault="00D00B07" w:rsidP="001F7A6E">
            <w:pPr>
              <w:pStyle w:val="BulletsL1"/>
              <w:numPr>
                <w:ilvl w:val="0"/>
                <w:numId w:val="26"/>
              </w:numPr>
              <w:jc w:val="left"/>
            </w:pPr>
            <w:r w:rsidRPr="00AC2B54">
              <w:t>Regulation by TEQSA does not unnecessarily impede the efficient operation of higher education providers (KPI 1), and its approach to consultation and engagement assists with mutual understanding, through regular, constructive consultation with the sector and engagement with international agencies (for example, development of trans national policy, collaboration via staff exchanges and collaborative projects).</w:t>
            </w:r>
          </w:p>
          <w:p w14:paraId="2AE33B1B" w14:textId="6314C973" w:rsidR="00D00B07" w:rsidRPr="00AC2B54" w:rsidRDefault="00D00B07" w:rsidP="00AC2B54">
            <w:pPr>
              <w:pStyle w:val="BulletsL1"/>
              <w:numPr>
                <w:ilvl w:val="0"/>
                <w:numId w:val="0"/>
              </w:numPr>
              <w:jc w:val="left"/>
            </w:pPr>
            <w:r w:rsidRPr="00B23BC1">
              <w:rPr>
                <w:b/>
              </w:rPr>
              <w:t>TEQSA’s compliance and monitoring approaches are streamlined and coordinated</w:t>
            </w:r>
            <w:r w:rsidRPr="00AC2B54">
              <w:t xml:space="preserve"> (KPI 4), as evidenced by: </w:t>
            </w:r>
          </w:p>
          <w:p w14:paraId="6A5F47D5" w14:textId="5DD838BA" w:rsidR="00D00B07" w:rsidRPr="00AC2B54" w:rsidRDefault="00D00B07" w:rsidP="00AC2B54">
            <w:pPr>
              <w:pStyle w:val="BulletsL1"/>
              <w:numPr>
                <w:ilvl w:val="0"/>
                <w:numId w:val="26"/>
              </w:numPr>
              <w:jc w:val="left"/>
            </w:pPr>
            <w:r w:rsidRPr="00AC2B54">
              <w:t>Collaboration with the Department of Education and Training to streamline and automate data collection on providers and enhance access and sharing</w:t>
            </w:r>
            <w:r w:rsidR="004536F2">
              <w:t>.</w:t>
            </w:r>
          </w:p>
          <w:p w14:paraId="42761563" w14:textId="4B051B73" w:rsidR="00D00B07" w:rsidRPr="00AC2B54" w:rsidRDefault="00D00B07" w:rsidP="00AC2B54">
            <w:pPr>
              <w:pStyle w:val="BulletsL1"/>
              <w:numPr>
                <w:ilvl w:val="0"/>
                <w:numId w:val="26"/>
              </w:numPr>
              <w:jc w:val="left"/>
            </w:pPr>
            <w:r w:rsidRPr="00AC2B54">
              <w:t>Collaboration with professional bodies to enhance data sharing and thus reduce regulatory burden on providers that are regulated by both TEQSA and a professional body</w:t>
            </w:r>
            <w:r w:rsidR="004536F2">
              <w:t>.</w:t>
            </w:r>
            <w:r w:rsidR="00AC2B54">
              <w:br/>
            </w:r>
          </w:p>
          <w:p w14:paraId="5C5228AD" w14:textId="77777777" w:rsidR="00D00B07" w:rsidRPr="00AC2B54" w:rsidRDefault="00D00B07" w:rsidP="00AC2B54">
            <w:pPr>
              <w:pStyle w:val="BulletsL1"/>
              <w:numPr>
                <w:ilvl w:val="0"/>
                <w:numId w:val="0"/>
              </w:numPr>
              <w:jc w:val="left"/>
            </w:pPr>
            <w:r w:rsidRPr="00B23BC1">
              <w:rPr>
                <w:b/>
              </w:rPr>
              <w:t>TEQSA’s regulatory framework continues to be improved in consultation with stakeholders</w:t>
            </w:r>
            <w:r w:rsidRPr="00AC2B54">
              <w:t xml:space="preserve"> (KPI 6) to assist with:</w:t>
            </w:r>
          </w:p>
          <w:p w14:paraId="73AE6888" w14:textId="1DFAE97D" w:rsidR="00D00B07" w:rsidRPr="00AC2B54" w:rsidRDefault="00D00B07" w:rsidP="00AC2B54">
            <w:pPr>
              <w:pStyle w:val="BulletsL1"/>
              <w:numPr>
                <w:ilvl w:val="0"/>
                <w:numId w:val="26"/>
              </w:numPr>
              <w:jc w:val="left"/>
            </w:pPr>
            <w:r w:rsidRPr="00AC2B54">
              <w:t xml:space="preserve"> initiatives such as the development of and transition to the HE standards, using well established, productive consultative mechanisms with stakeholders and use of a variety of media and channels to convey relevant information to stakeholders</w:t>
            </w:r>
            <w:r w:rsidR="004536F2">
              <w:t>.</w:t>
            </w:r>
          </w:p>
        </w:tc>
      </w:tr>
    </w:tbl>
    <w:p w14:paraId="12912CEE" w14:textId="56EF5C19" w:rsidR="000E009B" w:rsidRDefault="000E009B" w:rsidP="000E009B">
      <w:pPr>
        <w:rPr>
          <w:rFonts w:eastAsia="Arial" w:cs="Arial"/>
        </w:rPr>
      </w:pPr>
      <w:bookmarkStart w:id="10" w:name="Governance"/>
      <w:bookmarkStart w:id="11" w:name="Human_Resources_and_Organisational_Capab"/>
      <w:bookmarkStart w:id="12" w:name="ICT_Investment_Strategy"/>
      <w:bookmarkEnd w:id="10"/>
      <w:bookmarkEnd w:id="11"/>
      <w:bookmarkEnd w:id="12"/>
      <w:r>
        <w:rPr>
          <w:rFonts w:eastAsia="Arial" w:cs="Arial"/>
        </w:rPr>
        <w:br w:type="page"/>
      </w:r>
    </w:p>
    <w:p w14:paraId="417DA18A" w14:textId="257C8903" w:rsidR="000E009B" w:rsidRPr="00942BBE" w:rsidRDefault="000E009B" w:rsidP="00571A10">
      <w:pPr>
        <w:pStyle w:val="Heading3"/>
        <w:numPr>
          <w:ilvl w:val="0"/>
          <w:numId w:val="40"/>
        </w:numPr>
      </w:pPr>
      <w:bookmarkStart w:id="13" w:name="_Toc420326932"/>
      <w:bookmarkStart w:id="14" w:name="_Toc436247132"/>
      <w:bookmarkStart w:id="15" w:name="_Toc436247904"/>
      <w:r w:rsidRPr="00942BBE">
        <w:t>Efficient, effective, responsive, risk-based quality assurance and regulatory activities</w:t>
      </w:r>
      <w:bookmarkEnd w:id="13"/>
      <w:bookmarkEnd w:id="14"/>
      <w:bookmarkEnd w:id="15"/>
      <w:r w:rsidRPr="00942BBE">
        <w:t xml:space="preserve"> </w:t>
      </w:r>
    </w:p>
    <w:tbl>
      <w:tblPr>
        <w:tblStyle w:val="TEQSAtables"/>
        <w:tblW w:w="10206" w:type="dxa"/>
        <w:tblInd w:w="142" w:type="dxa"/>
        <w:tblLook w:val="04A0" w:firstRow="1" w:lastRow="0" w:firstColumn="1" w:lastColumn="0" w:noHBand="0" w:noVBand="1"/>
      </w:tblPr>
      <w:tblGrid>
        <w:gridCol w:w="2372"/>
        <w:gridCol w:w="3015"/>
        <w:gridCol w:w="4819"/>
      </w:tblGrid>
      <w:tr w:rsidR="00AC2B54" w:rsidRPr="005D266D" w14:paraId="4ACC3282" w14:textId="0D1375CF" w:rsidTr="009A692A">
        <w:trPr>
          <w:cnfStyle w:val="100000000000" w:firstRow="1" w:lastRow="0" w:firstColumn="0" w:lastColumn="0" w:oddVBand="0" w:evenVBand="0" w:oddHBand="0" w:evenHBand="0" w:firstRowFirstColumn="0" w:firstRowLastColumn="0" w:lastRowFirstColumn="0" w:lastRowLastColumn="0"/>
          <w:tblHeader/>
        </w:trPr>
        <w:tc>
          <w:tcPr>
            <w:tcW w:w="0" w:type="auto"/>
          </w:tcPr>
          <w:p w14:paraId="5EEA8972" w14:textId="7E5ADD7E" w:rsidR="00AC2B54" w:rsidRPr="005D266D" w:rsidRDefault="00F07B79" w:rsidP="00530EA3">
            <w:pPr>
              <w:jc w:val="left"/>
              <w:rPr>
                <w:rFonts w:eastAsia="Arial" w:cs="Arial"/>
                <w:sz w:val="24"/>
                <w:szCs w:val="24"/>
              </w:rPr>
            </w:pPr>
            <w:r>
              <w:t xml:space="preserve">Corporate Plan </w:t>
            </w:r>
            <w:r w:rsidR="00AC2B54" w:rsidRPr="00AC2B54">
              <w:t>Strategies</w:t>
            </w:r>
          </w:p>
        </w:tc>
        <w:tc>
          <w:tcPr>
            <w:tcW w:w="3015" w:type="dxa"/>
          </w:tcPr>
          <w:p w14:paraId="66A7B4B3" w14:textId="2C1FC840" w:rsidR="00AC2B54" w:rsidRPr="005D266D" w:rsidRDefault="00AC2B54" w:rsidP="00530EA3">
            <w:pPr>
              <w:jc w:val="left"/>
              <w:rPr>
                <w:rFonts w:eastAsia="Arial" w:cs="Arial"/>
                <w:sz w:val="24"/>
                <w:szCs w:val="24"/>
              </w:rPr>
            </w:pPr>
            <w:r w:rsidRPr="00AC2B54">
              <w:t>Corporate Plan Performance Indicators</w:t>
            </w:r>
            <w:r w:rsidRPr="00AC2B54">
              <w:rPr>
                <w:i/>
                <w:color w:val="FF0000"/>
              </w:rPr>
              <w:t xml:space="preserve">  </w:t>
            </w:r>
          </w:p>
        </w:tc>
        <w:tc>
          <w:tcPr>
            <w:tcW w:w="4819" w:type="dxa"/>
          </w:tcPr>
          <w:p w14:paraId="3E9B2BF7" w14:textId="15B1318C" w:rsidR="00AC2B54" w:rsidRPr="007D4DD9" w:rsidRDefault="00AC2B54" w:rsidP="007D4DD9">
            <w:pPr>
              <w:jc w:val="left"/>
            </w:pPr>
            <w:r w:rsidRPr="007D4DD9">
              <w:t>Corresponding Regulator Performance Framework Performance Indicators</w:t>
            </w:r>
          </w:p>
        </w:tc>
      </w:tr>
      <w:tr w:rsidR="001F7A6E" w:rsidRPr="005F50B6" w14:paraId="0C0B5B90" w14:textId="61F26B2F" w:rsidTr="009A692A">
        <w:tc>
          <w:tcPr>
            <w:tcW w:w="0" w:type="auto"/>
          </w:tcPr>
          <w:p w14:paraId="0DA36A17" w14:textId="77777777" w:rsidR="001F7A6E" w:rsidRDefault="001F7A6E" w:rsidP="000E009B">
            <w:pPr>
              <w:pStyle w:val="BulletsL1"/>
              <w:numPr>
                <w:ilvl w:val="1"/>
                <w:numId w:val="17"/>
              </w:numPr>
              <w:jc w:val="left"/>
            </w:pPr>
            <w:r>
              <w:t xml:space="preserve">Further integrate risk analysis and quality assurance activities </w:t>
            </w:r>
          </w:p>
          <w:p w14:paraId="5129AAFA" w14:textId="77777777" w:rsidR="001F7A6E" w:rsidRDefault="001F7A6E" w:rsidP="000E009B">
            <w:pPr>
              <w:pStyle w:val="BulletsL1"/>
              <w:numPr>
                <w:ilvl w:val="1"/>
                <w:numId w:val="17"/>
              </w:numPr>
              <w:jc w:val="left"/>
            </w:pPr>
            <w:r>
              <w:t>Maintain a strong focus on the educational experiences and outcomes for students in quality assurance activities</w:t>
            </w:r>
          </w:p>
          <w:p w14:paraId="4691229E" w14:textId="77777777" w:rsidR="001F7A6E" w:rsidRDefault="001F7A6E" w:rsidP="000E009B">
            <w:pPr>
              <w:pStyle w:val="BulletsL1"/>
              <w:numPr>
                <w:ilvl w:val="1"/>
                <w:numId w:val="17"/>
              </w:numPr>
              <w:jc w:val="left"/>
            </w:pPr>
            <w:r>
              <w:t>Continue to implement a program of improvement of quality assurance and regulatory approaches involving key stakeholders</w:t>
            </w:r>
          </w:p>
          <w:p w14:paraId="48E9F385" w14:textId="77777777" w:rsidR="001F7A6E" w:rsidRDefault="001F7A6E" w:rsidP="000E009B">
            <w:pPr>
              <w:pStyle w:val="BulletsL1"/>
              <w:numPr>
                <w:ilvl w:val="1"/>
                <w:numId w:val="17"/>
              </w:numPr>
              <w:jc w:val="left"/>
            </w:pPr>
            <w:r>
              <w:t>Continue to build organisational capability</w:t>
            </w:r>
          </w:p>
        </w:tc>
        <w:tc>
          <w:tcPr>
            <w:tcW w:w="3015" w:type="dxa"/>
          </w:tcPr>
          <w:p w14:paraId="52301347" w14:textId="77777777" w:rsidR="001F7A6E" w:rsidRDefault="001F7A6E" w:rsidP="000E009B">
            <w:pPr>
              <w:pStyle w:val="BulletsL1"/>
              <w:numPr>
                <w:ilvl w:val="1"/>
                <w:numId w:val="17"/>
              </w:numPr>
              <w:jc w:val="left"/>
              <w:rPr>
                <w:lang w:val="en-GB"/>
              </w:rPr>
            </w:pPr>
            <w:r>
              <w:rPr>
                <w:lang w:val="en-GB"/>
              </w:rPr>
              <w:t>Quality assurance and r</w:t>
            </w:r>
            <w:r w:rsidRPr="00CD4E68">
              <w:rPr>
                <w:lang w:val="en-GB"/>
              </w:rPr>
              <w:t xml:space="preserve">egulation </w:t>
            </w:r>
            <w:r w:rsidRPr="00CD4E68">
              <w:t xml:space="preserve">by TEQSA </w:t>
            </w:r>
            <w:r w:rsidRPr="00CD4E68">
              <w:rPr>
                <w:lang w:val="en-GB"/>
              </w:rPr>
              <w:t xml:space="preserve">does not unnecessarily impede the </w:t>
            </w:r>
            <w:r w:rsidRPr="00CD4E68">
              <w:t xml:space="preserve">efficient </w:t>
            </w:r>
            <w:r w:rsidRPr="00CD4E68">
              <w:rPr>
                <w:lang w:val="en-GB"/>
              </w:rPr>
              <w:t xml:space="preserve">operation of </w:t>
            </w:r>
            <w:r w:rsidRPr="00CD4E68">
              <w:t xml:space="preserve">higher education </w:t>
            </w:r>
            <w:r w:rsidRPr="00CD4E68">
              <w:rPr>
                <w:lang w:val="en-GB"/>
              </w:rPr>
              <w:t>providers</w:t>
            </w:r>
          </w:p>
          <w:p w14:paraId="4223BCE4" w14:textId="31E5C6B3" w:rsidR="001F7A6E" w:rsidRPr="000D1224" w:rsidRDefault="001F7A6E" w:rsidP="000E009B">
            <w:pPr>
              <w:pStyle w:val="BulletsL1"/>
              <w:numPr>
                <w:ilvl w:val="1"/>
                <w:numId w:val="17"/>
              </w:numPr>
              <w:jc w:val="left"/>
              <w:rPr>
                <w:lang w:val="en-GB"/>
              </w:rPr>
            </w:pPr>
            <w:r w:rsidRPr="000D1224">
              <w:rPr>
                <w:i/>
                <w:color w:val="FF0000"/>
              </w:rPr>
              <w:t xml:space="preserve"> </w:t>
            </w:r>
            <w:r w:rsidRPr="000D1224">
              <w:rPr>
                <w:lang w:val="en-GB"/>
              </w:rPr>
              <w:t>Quality assurance and regulatory actions undertaken by TEQSA are proportionate to the risks being managed</w:t>
            </w:r>
          </w:p>
          <w:p w14:paraId="22CB0379" w14:textId="77777777" w:rsidR="001F7A6E" w:rsidRDefault="001F7A6E" w:rsidP="000E009B">
            <w:pPr>
              <w:pStyle w:val="BulletsL1"/>
              <w:numPr>
                <w:ilvl w:val="1"/>
                <w:numId w:val="17"/>
              </w:numPr>
              <w:jc w:val="left"/>
            </w:pPr>
            <w:r w:rsidRPr="00CD4E68">
              <w:t>TEQSA’s compliance and monitoring approaches are streamlined and coordinated</w:t>
            </w:r>
          </w:p>
          <w:p w14:paraId="40BB208F" w14:textId="77777777" w:rsidR="001F7A6E" w:rsidRPr="00BA5CA1" w:rsidRDefault="001F7A6E" w:rsidP="000E009B">
            <w:pPr>
              <w:pStyle w:val="BulletsL1"/>
              <w:numPr>
                <w:ilvl w:val="1"/>
                <w:numId w:val="17"/>
              </w:numPr>
              <w:jc w:val="left"/>
            </w:pPr>
            <w:r>
              <w:rPr>
                <w:lang w:val="en-GB"/>
              </w:rPr>
              <w:t xml:space="preserve">The quality assurance </w:t>
            </w:r>
            <w:r w:rsidRPr="00CD4E68">
              <w:rPr>
                <w:lang w:val="en-GB"/>
              </w:rPr>
              <w:t>framework continues to be improved in consultation with stakeholders</w:t>
            </w:r>
          </w:p>
          <w:p w14:paraId="33E8FBA9" w14:textId="2AC45775" w:rsidR="001F7A6E" w:rsidRPr="00CD4E68" w:rsidRDefault="001F7A6E" w:rsidP="005E4D00">
            <w:pPr>
              <w:pStyle w:val="BulletsL1"/>
              <w:numPr>
                <w:ilvl w:val="1"/>
                <w:numId w:val="17"/>
              </w:numPr>
              <w:jc w:val="left"/>
            </w:pPr>
            <w:r>
              <w:t>Quality assurance business processes are documented and applied consistently</w:t>
            </w:r>
          </w:p>
        </w:tc>
        <w:tc>
          <w:tcPr>
            <w:tcW w:w="4819" w:type="dxa"/>
          </w:tcPr>
          <w:p w14:paraId="3CCE4E40" w14:textId="77777777" w:rsidR="001F7A6E" w:rsidRDefault="00AC2B54" w:rsidP="00AC2B54">
            <w:pPr>
              <w:pStyle w:val="BulletsL1"/>
              <w:numPr>
                <w:ilvl w:val="0"/>
                <w:numId w:val="0"/>
              </w:numPr>
              <w:jc w:val="left"/>
            </w:pPr>
            <w:r w:rsidRPr="006148D2">
              <w:rPr>
                <w:b/>
              </w:rPr>
              <w:t>Regulation by TEQSA does not unnecessarily impede the efficient operation of higher education providers</w:t>
            </w:r>
            <w:r w:rsidRPr="00AC2B54">
              <w:t xml:space="preserve"> (KPI 1)</w:t>
            </w:r>
            <w:r w:rsidR="000D1224">
              <w:t>. TEQSA has:</w:t>
            </w:r>
          </w:p>
          <w:p w14:paraId="0C775E5A" w14:textId="3DDC2AAA" w:rsidR="000D1224" w:rsidRPr="000D1224" w:rsidRDefault="005E4D00" w:rsidP="000D1224">
            <w:pPr>
              <w:pStyle w:val="BulletsL1"/>
              <w:numPr>
                <w:ilvl w:val="0"/>
                <w:numId w:val="36"/>
              </w:numPr>
              <w:jc w:val="left"/>
              <w:rPr>
                <w:lang w:val="en-GB"/>
              </w:rPr>
            </w:pPr>
            <w:r>
              <w:t>a</w:t>
            </w:r>
            <w:r w:rsidR="000D1224">
              <w:t>chieved a</w:t>
            </w:r>
            <w:r w:rsidR="000D1224" w:rsidRPr="00AE4C83">
              <w:t xml:space="preserve"> series of reductions in administrative burden already achieved, with further in progress</w:t>
            </w:r>
            <w:r w:rsidR="004536F2">
              <w:t>.</w:t>
            </w:r>
          </w:p>
          <w:p w14:paraId="54343254" w14:textId="425D95D2" w:rsidR="000D1224" w:rsidRPr="00E56916" w:rsidRDefault="005E4D00" w:rsidP="000D1224">
            <w:pPr>
              <w:pStyle w:val="BulletsL1"/>
              <w:numPr>
                <w:ilvl w:val="0"/>
                <w:numId w:val="36"/>
              </w:numPr>
              <w:jc w:val="left"/>
            </w:pPr>
            <w:r>
              <w:t>e</w:t>
            </w:r>
            <w:r w:rsidR="000D1224">
              <w:t>stablished a case management model for regulatory processes allowing tailoring of processes according to the circumstances of the individual providers</w:t>
            </w:r>
            <w:r w:rsidR="004536F2">
              <w:t>.</w:t>
            </w:r>
          </w:p>
          <w:p w14:paraId="006847B7" w14:textId="26E52F3B" w:rsidR="008B2FF7" w:rsidRPr="00AC2B54" w:rsidRDefault="000D1224" w:rsidP="008B2FF7">
            <w:pPr>
              <w:pStyle w:val="BulletsL1"/>
              <w:numPr>
                <w:ilvl w:val="0"/>
                <w:numId w:val="0"/>
              </w:numPr>
              <w:jc w:val="left"/>
            </w:pPr>
            <w:r w:rsidRPr="006148D2">
              <w:rPr>
                <w:b/>
              </w:rPr>
              <w:t>Regulatory actions undertaken by TEQSA are proportionate to the risks being managed</w:t>
            </w:r>
            <w:r w:rsidR="008B2FF7">
              <w:t xml:space="preserve"> (KPI 3). </w:t>
            </w:r>
            <w:r w:rsidR="008B2FF7" w:rsidRPr="00AC2B54">
              <w:t>TEQSA has</w:t>
            </w:r>
            <w:r w:rsidR="008B2FF7">
              <w:t>:</w:t>
            </w:r>
            <w:r w:rsidR="008B2FF7" w:rsidRPr="00AC2B54">
              <w:t xml:space="preserve"> </w:t>
            </w:r>
          </w:p>
          <w:p w14:paraId="0FC1420A" w14:textId="7A3CC6ED" w:rsidR="008B2FF7" w:rsidRDefault="008B2FF7" w:rsidP="005E4D00">
            <w:pPr>
              <w:pStyle w:val="BulletsL1"/>
              <w:numPr>
                <w:ilvl w:val="0"/>
                <w:numId w:val="38"/>
              </w:numPr>
              <w:jc w:val="left"/>
            </w:pPr>
            <w:r w:rsidRPr="00AC2B54">
              <w:t>developed and implements an innovative standards-based, risk modulated approach to regulation, through the integration of risk analysis and regulatory decision making, by use of comprehensive detailed current data sets gathered and maintained to inform risk analyses and regulatory interventions,  a clear and publically available Risk Assessment Framework, and the progressive development of the scope and application of the ‘core plus’ model to further reduce burdens on demonstrated low-risk providers</w:t>
            </w:r>
            <w:r w:rsidR="005E4D00">
              <w:t>. Additionally comprehensive quality assurance processes are in place for regulatory assessment and decision making.</w:t>
            </w:r>
            <w:r w:rsidRPr="00AC2B54">
              <w:t xml:space="preserve"> </w:t>
            </w:r>
          </w:p>
          <w:p w14:paraId="040F4504" w14:textId="77777777" w:rsidR="008B2FF7" w:rsidRPr="00AC2B54" w:rsidRDefault="008B2FF7" w:rsidP="008B2FF7">
            <w:pPr>
              <w:pStyle w:val="BulletsL1"/>
              <w:numPr>
                <w:ilvl w:val="0"/>
                <w:numId w:val="0"/>
              </w:numPr>
              <w:jc w:val="left"/>
            </w:pPr>
            <w:r w:rsidRPr="006148D2">
              <w:rPr>
                <w:b/>
              </w:rPr>
              <w:t>TEQSA’s compliance and monitoring approaches are streamlined and coordinated</w:t>
            </w:r>
            <w:r w:rsidRPr="00AC2B54">
              <w:t xml:space="preserve"> (KPI 4), as evidenced by: </w:t>
            </w:r>
          </w:p>
          <w:p w14:paraId="58D76A97" w14:textId="1B497FDE" w:rsidR="008B2FF7" w:rsidRPr="00AC2B54" w:rsidRDefault="008B2FF7" w:rsidP="008B2FF7">
            <w:pPr>
              <w:pStyle w:val="BulletsL1"/>
              <w:numPr>
                <w:ilvl w:val="0"/>
                <w:numId w:val="26"/>
              </w:numPr>
              <w:jc w:val="left"/>
            </w:pPr>
            <w:r w:rsidRPr="00AC2B54">
              <w:t>Collaboration with the Department of Education and Training to streamline and automate data collection on providers and enhance access and sharing</w:t>
            </w:r>
            <w:r w:rsidR="004536F2">
              <w:t>.</w:t>
            </w:r>
          </w:p>
          <w:p w14:paraId="67A01B52" w14:textId="6DBB34AC" w:rsidR="008B2FF7" w:rsidRPr="005E4D00" w:rsidRDefault="008B2FF7" w:rsidP="005E4D00">
            <w:pPr>
              <w:pStyle w:val="BulletsL1"/>
              <w:numPr>
                <w:ilvl w:val="0"/>
                <w:numId w:val="26"/>
              </w:numPr>
              <w:jc w:val="left"/>
              <w:rPr>
                <w:lang w:val="en-GB"/>
              </w:rPr>
            </w:pPr>
            <w:r w:rsidRPr="00AC2B54">
              <w:t>Collaboration with professional bodies to enhance data sharing and thus reduce regulatory burden on providers that are regulated by both TEQSA and a professional body</w:t>
            </w:r>
            <w:r w:rsidR="004536F2">
              <w:t>.</w:t>
            </w:r>
          </w:p>
          <w:p w14:paraId="63DA688A" w14:textId="41E0A032" w:rsidR="005E4D00" w:rsidRPr="005E4D00" w:rsidRDefault="005E4D00" w:rsidP="005E4D00">
            <w:pPr>
              <w:pStyle w:val="BulletsL1"/>
              <w:numPr>
                <w:ilvl w:val="0"/>
                <w:numId w:val="26"/>
              </w:numPr>
              <w:jc w:val="left"/>
              <w:rPr>
                <w:lang w:val="en-GB"/>
              </w:rPr>
            </w:pPr>
            <w:r>
              <w:t>Collaboration with ASQA to streamline regulatory processes for providers that are regulated by both TEQSA and ASQA</w:t>
            </w:r>
            <w:r w:rsidR="004536F2">
              <w:t>.</w:t>
            </w:r>
          </w:p>
          <w:p w14:paraId="236F8CDA" w14:textId="5D47889F" w:rsidR="005E4D00" w:rsidRPr="00AC2B54" w:rsidRDefault="005E4D00" w:rsidP="005E4D00">
            <w:pPr>
              <w:pStyle w:val="BulletsL1"/>
              <w:numPr>
                <w:ilvl w:val="0"/>
                <w:numId w:val="0"/>
              </w:numPr>
              <w:jc w:val="left"/>
            </w:pPr>
            <w:r w:rsidRPr="006148D2">
              <w:rPr>
                <w:b/>
              </w:rPr>
              <w:t>TEQSA’s regulatory framework continues to be improved in consultation with stakeholders</w:t>
            </w:r>
            <w:r>
              <w:t xml:space="preserve"> (KPI 6) by use of well established, productive consultative mechanisms with stakeholders and use of a variety of media and channels to convey information to stakeholders (for example through contributions to the Higher Education Standards Panel and regular engagement with the Department of Education and Training).</w:t>
            </w:r>
          </w:p>
          <w:p w14:paraId="2C06DCB7" w14:textId="475004F1" w:rsidR="005E4D00" w:rsidRDefault="005E4D00" w:rsidP="005E4D00">
            <w:pPr>
              <w:pStyle w:val="BulletsL1"/>
              <w:numPr>
                <w:ilvl w:val="0"/>
                <w:numId w:val="0"/>
              </w:numPr>
              <w:jc w:val="left"/>
              <w:rPr>
                <w:lang w:val="en-GB"/>
              </w:rPr>
            </w:pPr>
          </w:p>
        </w:tc>
      </w:tr>
    </w:tbl>
    <w:p w14:paraId="2AC45CA2" w14:textId="77777777" w:rsidR="000E009B" w:rsidRDefault="000E009B" w:rsidP="000E009B">
      <w:pPr>
        <w:rPr>
          <w:rFonts w:eastAsia="Arial" w:cs="Arial"/>
          <w:b/>
          <w:bCs/>
        </w:rPr>
      </w:pPr>
    </w:p>
    <w:p w14:paraId="4A228AF8" w14:textId="77777777" w:rsidR="000E009B" w:rsidRDefault="000E009B" w:rsidP="000E009B">
      <w:pPr>
        <w:rPr>
          <w:rFonts w:eastAsia="Arial" w:cs="Arial"/>
        </w:rPr>
      </w:pPr>
      <w:r>
        <w:rPr>
          <w:rFonts w:eastAsia="Arial" w:cs="Arial"/>
          <w:b/>
          <w:bCs/>
        </w:rPr>
        <w:br w:type="page"/>
      </w:r>
    </w:p>
    <w:p w14:paraId="2A3A16F3" w14:textId="616E85CA" w:rsidR="000E009B" w:rsidRPr="00571A10" w:rsidRDefault="000E009B" w:rsidP="004536F2">
      <w:pPr>
        <w:pStyle w:val="Heading3"/>
        <w:numPr>
          <w:ilvl w:val="0"/>
          <w:numId w:val="40"/>
        </w:numPr>
      </w:pPr>
      <w:bookmarkStart w:id="16" w:name="_Toc420326933"/>
      <w:bookmarkStart w:id="17" w:name="_Toc436247133"/>
      <w:bookmarkStart w:id="18" w:name="_Toc436247905"/>
      <w:r w:rsidRPr="00571A10">
        <w:t>Constructive and collaborative relationships with governments, higher education providers and other stakeholders</w:t>
      </w:r>
      <w:bookmarkEnd w:id="16"/>
      <w:bookmarkEnd w:id="17"/>
      <w:bookmarkEnd w:id="18"/>
      <w:r w:rsidRPr="00571A10">
        <w:t xml:space="preserve"> </w:t>
      </w:r>
    </w:p>
    <w:tbl>
      <w:tblPr>
        <w:tblStyle w:val="TEQSAtables"/>
        <w:tblW w:w="10206" w:type="dxa"/>
        <w:tblInd w:w="142" w:type="dxa"/>
        <w:tblLook w:val="04A0" w:firstRow="1" w:lastRow="0" w:firstColumn="1" w:lastColumn="0" w:noHBand="0" w:noVBand="1"/>
      </w:tblPr>
      <w:tblGrid>
        <w:gridCol w:w="2410"/>
        <w:gridCol w:w="3119"/>
        <w:gridCol w:w="4677"/>
      </w:tblGrid>
      <w:tr w:rsidR="0022156D" w:rsidRPr="005D266D" w14:paraId="6EC82E04" w14:textId="16C00E3C" w:rsidTr="009A692A">
        <w:trPr>
          <w:cnfStyle w:val="100000000000" w:firstRow="1" w:lastRow="0" w:firstColumn="0" w:lastColumn="0" w:oddVBand="0" w:evenVBand="0" w:oddHBand="0" w:evenHBand="0" w:firstRowFirstColumn="0" w:firstRowLastColumn="0" w:lastRowFirstColumn="0" w:lastRowLastColumn="0"/>
        </w:trPr>
        <w:tc>
          <w:tcPr>
            <w:tcW w:w="2410" w:type="dxa"/>
          </w:tcPr>
          <w:p w14:paraId="3CCC0E65" w14:textId="7EF01F0F" w:rsidR="0022156D" w:rsidRPr="005D266D" w:rsidRDefault="00F07B79" w:rsidP="00530EA3">
            <w:pPr>
              <w:jc w:val="left"/>
              <w:rPr>
                <w:rFonts w:eastAsia="Arial" w:cs="Arial"/>
                <w:sz w:val="24"/>
                <w:szCs w:val="24"/>
              </w:rPr>
            </w:pPr>
            <w:r>
              <w:t xml:space="preserve">Corporate Plan </w:t>
            </w:r>
            <w:r w:rsidR="0022156D" w:rsidRPr="00AC2B54">
              <w:t>Strategies</w:t>
            </w:r>
          </w:p>
        </w:tc>
        <w:tc>
          <w:tcPr>
            <w:tcW w:w="3119" w:type="dxa"/>
          </w:tcPr>
          <w:p w14:paraId="7B5108B6" w14:textId="446B0405" w:rsidR="0022156D" w:rsidRPr="005D266D" w:rsidRDefault="0022156D" w:rsidP="00530EA3">
            <w:pPr>
              <w:jc w:val="left"/>
              <w:rPr>
                <w:rFonts w:eastAsia="Arial" w:cs="Arial"/>
                <w:sz w:val="24"/>
                <w:szCs w:val="24"/>
              </w:rPr>
            </w:pPr>
            <w:r w:rsidRPr="00AC2B54">
              <w:t>Corporate Plan Performance Indicators</w:t>
            </w:r>
            <w:r w:rsidRPr="00AC2B54">
              <w:rPr>
                <w:i/>
                <w:color w:val="FF0000"/>
              </w:rPr>
              <w:t xml:space="preserve">  </w:t>
            </w:r>
          </w:p>
        </w:tc>
        <w:tc>
          <w:tcPr>
            <w:tcW w:w="4677" w:type="dxa"/>
          </w:tcPr>
          <w:p w14:paraId="60EEE1F2" w14:textId="58861AB1" w:rsidR="0022156D" w:rsidRPr="0022156D" w:rsidRDefault="0022156D" w:rsidP="007D4DD9">
            <w:pPr>
              <w:jc w:val="left"/>
            </w:pPr>
            <w:r w:rsidRPr="0022156D">
              <w:t>Corresponding Regulator Performance Framework Performance Indicators</w:t>
            </w:r>
          </w:p>
        </w:tc>
      </w:tr>
      <w:tr w:rsidR="0022156D" w14:paraId="1EF396C6" w14:textId="475EEC10" w:rsidTr="009A692A">
        <w:tc>
          <w:tcPr>
            <w:tcW w:w="2410" w:type="dxa"/>
          </w:tcPr>
          <w:p w14:paraId="0B4AADA5" w14:textId="77777777" w:rsidR="0022156D" w:rsidRDefault="0022156D" w:rsidP="000E009B">
            <w:pPr>
              <w:pStyle w:val="BulletsL1"/>
              <w:numPr>
                <w:ilvl w:val="1"/>
                <w:numId w:val="17"/>
              </w:numPr>
              <w:jc w:val="left"/>
            </w:pPr>
            <w:r w:rsidRPr="00BC4B43">
              <w:t>Share data and analyses to support compliance and improvement activities</w:t>
            </w:r>
          </w:p>
          <w:p w14:paraId="4AF43C27" w14:textId="77777777" w:rsidR="0022156D" w:rsidRDefault="0022156D" w:rsidP="000E009B">
            <w:pPr>
              <w:pStyle w:val="BulletsL1"/>
              <w:numPr>
                <w:ilvl w:val="1"/>
                <w:numId w:val="17"/>
              </w:numPr>
              <w:jc w:val="left"/>
            </w:pPr>
            <w:r w:rsidRPr="00BC4B43">
              <w:t>Strengthen the collaborative relationship with ASQA</w:t>
            </w:r>
            <w:r>
              <w:t>,</w:t>
            </w:r>
            <w:r w:rsidRPr="00BC4B43">
              <w:t xml:space="preserve"> the Higher Education Standards Panel</w:t>
            </w:r>
            <w:r>
              <w:t xml:space="preserve"> and other agencies with mutual interests both in Australia and internationally</w:t>
            </w:r>
          </w:p>
          <w:p w14:paraId="16B47A43" w14:textId="77777777" w:rsidR="0022156D" w:rsidRPr="00D072B9" w:rsidRDefault="0022156D" w:rsidP="000E009B">
            <w:pPr>
              <w:pStyle w:val="BulletsL1"/>
              <w:numPr>
                <w:ilvl w:val="1"/>
                <w:numId w:val="17"/>
              </w:numPr>
              <w:jc w:val="left"/>
            </w:pPr>
            <w:r w:rsidRPr="004F6F34">
              <w:t>Consult with peak bodies</w:t>
            </w:r>
            <w:r>
              <w:t xml:space="preserve"> and </w:t>
            </w:r>
            <w:r w:rsidRPr="004F6F34">
              <w:t>higher education providers to promote a shared understanding of TEQSA’s approach and its core functions</w:t>
            </w:r>
          </w:p>
        </w:tc>
        <w:tc>
          <w:tcPr>
            <w:tcW w:w="3119" w:type="dxa"/>
          </w:tcPr>
          <w:p w14:paraId="51678BDC" w14:textId="120C62BF" w:rsidR="0022156D" w:rsidRPr="0022156D" w:rsidRDefault="0022156D" w:rsidP="0022156D">
            <w:pPr>
              <w:pStyle w:val="BulletsL1"/>
              <w:numPr>
                <w:ilvl w:val="0"/>
                <w:numId w:val="47"/>
              </w:numPr>
              <w:jc w:val="left"/>
              <w:rPr>
                <w:lang w:val="en-GB"/>
              </w:rPr>
            </w:pPr>
            <w:r w:rsidRPr="0031586D">
              <w:t>TEQSA’s communication with higher education providers is clear, targeted and effective</w:t>
            </w:r>
            <w:r w:rsidRPr="0031586D" w:rsidDel="00362583">
              <w:t xml:space="preserve"> </w:t>
            </w:r>
          </w:p>
          <w:p w14:paraId="63714E2C" w14:textId="77777777" w:rsidR="0022156D" w:rsidRDefault="0022156D" w:rsidP="0022156D">
            <w:pPr>
              <w:pStyle w:val="BulletsL1"/>
              <w:numPr>
                <w:ilvl w:val="0"/>
                <w:numId w:val="47"/>
              </w:numPr>
              <w:jc w:val="left"/>
              <w:rPr>
                <w:lang w:val="en-GB"/>
              </w:rPr>
            </w:pPr>
            <w:r w:rsidRPr="0022156D">
              <w:rPr>
                <w:lang w:val="en-GB"/>
              </w:rPr>
              <w:t>TEQSA’s dealings with higher education providers are open, transparent and consistent</w:t>
            </w:r>
          </w:p>
          <w:p w14:paraId="4A20848D" w14:textId="77777777" w:rsidR="00D2206F" w:rsidRDefault="0022156D" w:rsidP="00D2206F">
            <w:pPr>
              <w:pStyle w:val="BulletsL1"/>
              <w:numPr>
                <w:ilvl w:val="0"/>
                <w:numId w:val="47"/>
              </w:numPr>
              <w:jc w:val="left"/>
              <w:rPr>
                <w:lang w:val="en-GB"/>
              </w:rPr>
            </w:pPr>
            <w:r w:rsidRPr="0022156D">
              <w:rPr>
                <w:lang w:val="en-GB"/>
              </w:rPr>
              <w:t xml:space="preserve">Increased synergies developed with other agencies and contributions to collaborative goals </w:t>
            </w:r>
          </w:p>
          <w:p w14:paraId="1DF13816" w14:textId="5C89F102" w:rsidR="0022156D" w:rsidRPr="00D2206F" w:rsidRDefault="0022156D" w:rsidP="00D2206F">
            <w:pPr>
              <w:pStyle w:val="BulletsL1"/>
              <w:numPr>
                <w:ilvl w:val="0"/>
                <w:numId w:val="47"/>
              </w:numPr>
              <w:jc w:val="left"/>
              <w:rPr>
                <w:lang w:val="en-GB"/>
              </w:rPr>
            </w:pPr>
            <w:r w:rsidRPr="00D2206F">
              <w:rPr>
                <w:lang w:val="en-GB"/>
              </w:rPr>
              <w:t>Effective implementation of the requirements of regulatory responsibilities is achieved, including the TEQSA and ESOS Acts</w:t>
            </w:r>
          </w:p>
          <w:p w14:paraId="6FC2CB06" w14:textId="71E22130" w:rsidR="0022156D" w:rsidRPr="004543FE" w:rsidRDefault="0022156D" w:rsidP="0022156D">
            <w:pPr>
              <w:pStyle w:val="BulletsL1"/>
              <w:numPr>
                <w:ilvl w:val="0"/>
                <w:numId w:val="0"/>
              </w:numPr>
              <w:ind w:left="1080"/>
              <w:jc w:val="left"/>
              <w:rPr>
                <w:lang w:val="en-GB"/>
              </w:rPr>
            </w:pPr>
          </w:p>
        </w:tc>
        <w:tc>
          <w:tcPr>
            <w:tcW w:w="4677" w:type="dxa"/>
          </w:tcPr>
          <w:p w14:paraId="25CA14AA" w14:textId="77777777" w:rsidR="0022156D" w:rsidRDefault="0022156D" w:rsidP="0022156D">
            <w:pPr>
              <w:pStyle w:val="BulletsL1"/>
              <w:numPr>
                <w:ilvl w:val="0"/>
                <w:numId w:val="0"/>
              </w:numPr>
              <w:jc w:val="left"/>
            </w:pPr>
            <w:r w:rsidRPr="0043380E">
              <w:rPr>
                <w:b/>
              </w:rPr>
              <w:t>TEQSA’s communication with higher education providers is clear, targeted and effective</w:t>
            </w:r>
            <w:r>
              <w:t xml:space="preserve"> (KPI 2), for example:</w:t>
            </w:r>
          </w:p>
          <w:p w14:paraId="7F561BAB" w14:textId="096C53DA" w:rsidR="0022156D" w:rsidRDefault="0022156D" w:rsidP="0022156D">
            <w:pPr>
              <w:pStyle w:val="BulletsL1"/>
              <w:widowControl w:val="0"/>
              <w:numPr>
                <w:ilvl w:val="0"/>
                <w:numId w:val="46"/>
              </w:numPr>
              <w:spacing w:before="0" w:after="0" w:line="240" w:lineRule="auto"/>
              <w:jc w:val="left"/>
            </w:pPr>
            <w:r w:rsidRPr="0022156D">
              <w:t>TEQSA’s decisions are provided in a timely manner, clearly articulating the reasons for decisions</w:t>
            </w:r>
            <w:r w:rsidR="009D087E">
              <w:t>.</w:t>
            </w:r>
            <w:r w:rsidRPr="0022156D">
              <w:t xml:space="preserve"> </w:t>
            </w:r>
          </w:p>
          <w:p w14:paraId="723CC7FB" w14:textId="1BD99290" w:rsidR="0022156D" w:rsidRPr="0022156D" w:rsidRDefault="0022156D" w:rsidP="0022156D">
            <w:pPr>
              <w:pStyle w:val="BulletsL1"/>
              <w:widowControl w:val="0"/>
              <w:numPr>
                <w:ilvl w:val="0"/>
                <w:numId w:val="46"/>
              </w:numPr>
              <w:spacing w:before="0" w:after="0" w:line="240" w:lineRule="auto"/>
              <w:jc w:val="left"/>
            </w:pPr>
            <w:r w:rsidRPr="0022156D">
              <w:t>TEQSA gives all higher education providers a reasonable opportunity to address matters relevant to a decision by TEQSA before TEQSA makes a decision that affects the provider</w:t>
            </w:r>
            <w:r w:rsidR="009D087E">
              <w:t>.</w:t>
            </w:r>
          </w:p>
          <w:p w14:paraId="6933A95E" w14:textId="77777777" w:rsidR="0022156D" w:rsidRDefault="0022156D" w:rsidP="0022156D">
            <w:pPr>
              <w:pStyle w:val="BulletsL1"/>
              <w:numPr>
                <w:ilvl w:val="0"/>
                <w:numId w:val="0"/>
              </w:numPr>
              <w:ind w:left="360"/>
              <w:jc w:val="left"/>
            </w:pPr>
          </w:p>
          <w:p w14:paraId="72F0B86F" w14:textId="3FD3DC23" w:rsidR="0022156D" w:rsidRDefault="0022156D" w:rsidP="0022156D">
            <w:pPr>
              <w:pStyle w:val="BulletsL1"/>
              <w:numPr>
                <w:ilvl w:val="0"/>
                <w:numId w:val="0"/>
              </w:numPr>
              <w:jc w:val="left"/>
            </w:pPr>
            <w:r w:rsidRPr="0043380E">
              <w:rPr>
                <w:b/>
              </w:rPr>
              <w:t>TEQSA’s dealings with higher education providers are open, transparent and consistent</w:t>
            </w:r>
            <w:r>
              <w:t xml:space="preserve"> (KPI 5), for example TEQSA has:</w:t>
            </w:r>
          </w:p>
          <w:p w14:paraId="1A1FA1D1" w14:textId="04D852EB" w:rsidR="0022156D" w:rsidRDefault="0022156D" w:rsidP="0022156D">
            <w:pPr>
              <w:pStyle w:val="BulletsL1"/>
              <w:numPr>
                <w:ilvl w:val="0"/>
                <w:numId w:val="45"/>
              </w:numPr>
              <w:jc w:val="left"/>
            </w:pPr>
            <w:r w:rsidRPr="0022156D">
              <w:t>A clear publically available risk framework and articulated risk analysis process</w:t>
            </w:r>
            <w:r w:rsidR="009D087E">
              <w:t>.</w:t>
            </w:r>
          </w:p>
          <w:p w14:paraId="40BCCC8D" w14:textId="79F1A21D" w:rsidR="007D4DD9" w:rsidRDefault="0022156D" w:rsidP="0043380E">
            <w:pPr>
              <w:pStyle w:val="BulletsL1"/>
              <w:numPr>
                <w:ilvl w:val="0"/>
                <w:numId w:val="45"/>
              </w:numPr>
              <w:jc w:val="left"/>
            </w:pPr>
            <w:r w:rsidRPr="0022156D">
              <w:t>Transparency in the results of the regulatory decision making process</w:t>
            </w:r>
            <w:r w:rsidR="009D087E">
              <w:t>.</w:t>
            </w:r>
          </w:p>
          <w:p w14:paraId="1F92F1EA" w14:textId="45E51AD6" w:rsidR="0022156D" w:rsidRPr="0022156D" w:rsidRDefault="0022156D" w:rsidP="0022156D">
            <w:pPr>
              <w:pStyle w:val="BulletsL1"/>
              <w:numPr>
                <w:ilvl w:val="0"/>
                <w:numId w:val="0"/>
              </w:numPr>
              <w:jc w:val="left"/>
            </w:pPr>
            <w:r w:rsidRPr="0043380E">
              <w:rPr>
                <w:b/>
              </w:rPr>
              <w:t xml:space="preserve">TEQSA’s compliance and monitoring approaches are streamlined and </w:t>
            </w:r>
            <w:r w:rsidR="0085309D" w:rsidRPr="0043380E">
              <w:rPr>
                <w:b/>
              </w:rPr>
              <w:t>coordinated</w:t>
            </w:r>
            <w:r>
              <w:t xml:space="preserve"> (KPI 4) with other agencies, departments and professional bodies to increase synergies and achieve collaborative goals</w:t>
            </w:r>
            <w:r w:rsidR="009D087E">
              <w:t>.</w:t>
            </w:r>
          </w:p>
        </w:tc>
      </w:tr>
    </w:tbl>
    <w:p w14:paraId="792FE76C" w14:textId="2474C80F" w:rsidR="001A7D2D" w:rsidRDefault="001A7D2D" w:rsidP="001A7D2D">
      <w:pPr>
        <w:pStyle w:val="Heading1"/>
        <w:numPr>
          <w:ilvl w:val="0"/>
          <w:numId w:val="40"/>
        </w:numPr>
        <w:rPr>
          <w:rFonts w:ascii="Arial" w:hAnsi="Arial"/>
          <w:color w:val="407680" w:themeColor="accent2"/>
          <w:sz w:val="26"/>
          <w:szCs w:val="22"/>
        </w:rPr>
      </w:pPr>
      <w:bookmarkStart w:id="19" w:name="_Toc420326934"/>
      <w:bookmarkStart w:id="20" w:name="_Toc436247134"/>
      <w:bookmarkStart w:id="21" w:name="_Toc436247906"/>
      <w:r>
        <w:rPr>
          <w:rFonts w:ascii="Arial" w:hAnsi="Arial"/>
          <w:color w:val="407680" w:themeColor="accent2"/>
          <w:sz w:val="26"/>
          <w:szCs w:val="22"/>
        </w:rPr>
        <w:br w:type="page"/>
      </w:r>
    </w:p>
    <w:p w14:paraId="01EBEB7F" w14:textId="0B0062F3" w:rsidR="000E009B" w:rsidRPr="001A7D2D" w:rsidRDefault="000E009B" w:rsidP="001A7D2D">
      <w:pPr>
        <w:pStyle w:val="Heading1"/>
        <w:numPr>
          <w:ilvl w:val="0"/>
          <w:numId w:val="50"/>
        </w:numPr>
        <w:rPr>
          <w:rFonts w:ascii="Arial" w:hAnsi="Arial"/>
          <w:color w:val="407680" w:themeColor="accent2"/>
          <w:sz w:val="26"/>
          <w:szCs w:val="22"/>
        </w:rPr>
      </w:pPr>
      <w:r w:rsidRPr="001A7D2D">
        <w:rPr>
          <w:rFonts w:ascii="Arial" w:hAnsi="Arial"/>
          <w:color w:val="407680" w:themeColor="accent2"/>
          <w:sz w:val="26"/>
          <w:szCs w:val="22"/>
        </w:rPr>
        <w:t>Effective internal quality assurance by providers</w:t>
      </w:r>
      <w:bookmarkEnd w:id="19"/>
      <w:bookmarkEnd w:id="20"/>
      <w:bookmarkEnd w:id="21"/>
      <w:r w:rsidRPr="001A7D2D">
        <w:rPr>
          <w:rFonts w:ascii="Arial" w:hAnsi="Arial"/>
          <w:color w:val="407680" w:themeColor="accent2"/>
          <w:sz w:val="26"/>
          <w:szCs w:val="22"/>
        </w:rPr>
        <w:t xml:space="preserve"> </w:t>
      </w:r>
    </w:p>
    <w:tbl>
      <w:tblPr>
        <w:tblStyle w:val="TEQSAtables"/>
        <w:tblW w:w="10206" w:type="dxa"/>
        <w:tblInd w:w="142" w:type="dxa"/>
        <w:tblLook w:val="04A0" w:firstRow="1" w:lastRow="0" w:firstColumn="1" w:lastColumn="0" w:noHBand="0" w:noVBand="1"/>
      </w:tblPr>
      <w:tblGrid>
        <w:gridCol w:w="2127"/>
        <w:gridCol w:w="3685"/>
        <w:gridCol w:w="4394"/>
      </w:tblGrid>
      <w:tr w:rsidR="00D32C53" w:rsidRPr="005D266D" w14:paraId="1A898A46" w14:textId="5CC942B5" w:rsidTr="009A692A">
        <w:trPr>
          <w:cnfStyle w:val="100000000000" w:firstRow="1" w:lastRow="0" w:firstColumn="0" w:lastColumn="0" w:oddVBand="0" w:evenVBand="0" w:oddHBand="0" w:evenHBand="0" w:firstRowFirstColumn="0" w:firstRowLastColumn="0" w:lastRowFirstColumn="0" w:lastRowLastColumn="0"/>
        </w:trPr>
        <w:tc>
          <w:tcPr>
            <w:tcW w:w="2127" w:type="dxa"/>
          </w:tcPr>
          <w:p w14:paraId="2EC8EEFA" w14:textId="5CE47F0E" w:rsidR="00D32C53" w:rsidRPr="005D266D" w:rsidRDefault="00F07B79" w:rsidP="00530EA3">
            <w:pPr>
              <w:jc w:val="left"/>
              <w:rPr>
                <w:rFonts w:eastAsia="Arial" w:cs="Arial"/>
                <w:sz w:val="24"/>
                <w:szCs w:val="24"/>
              </w:rPr>
            </w:pPr>
            <w:r>
              <w:t xml:space="preserve">Corporate Plan </w:t>
            </w:r>
            <w:r w:rsidR="00D32C53" w:rsidRPr="00AC2B54">
              <w:t>Strategies</w:t>
            </w:r>
          </w:p>
        </w:tc>
        <w:tc>
          <w:tcPr>
            <w:tcW w:w="3685" w:type="dxa"/>
          </w:tcPr>
          <w:p w14:paraId="6D84CBC1" w14:textId="02A99C51" w:rsidR="00D32C53" w:rsidRPr="005D266D" w:rsidRDefault="00D32C53" w:rsidP="00530EA3">
            <w:pPr>
              <w:jc w:val="left"/>
              <w:rPr>
                <w:rFonts w:eastAsia="Arial" w:cs="Arial"/>
                <w:sz w:val="24"/>
                <w:szCs w:val="24"/>
              </w:rPr>
            </w:pPr>
            <w:r w:rsidRPr="00AC2B54">
              <w:t>Corporate Plan Performance Indicators</w:t>
            </w:r>
            <w:r w:rsidRPr="00AC2B54">
              <w:rPr>
                <w:i/>
                <w:color w:val="FF0000"/>
              </w:rPr>
              <w:t xml:space="preserve">  </w:t>
            </w:r>
          </w:p>
        </w:tc>
        <w:tc>
          <w:tcPr>
            <w:tcW w:w="4394" w:type="dxa"/>
          </w:tcPr>
          <w:p w14:paraId="30111443" w14:textId="3FDE9316" w:rsidR="00D32C53" w:rsidRPr="005D266D" w:rsidRDefault="00D32C53" w:rsidP="00840EB4">
            <w:pPr>
              <w:jc w:val="left"/>
            </w:pPr>
            <w:r w:rsidRPr="0022156D">
              <w:t>Corresponding Regulator Performance Framework Performance Indicators</w:t>
            </w:r>
          </w:p>
        </w:tc>
      </w:tr>
      <w:tr w:rsidR="00D32C53" w14:paraId="73D2290F" w14:textId="1A432782" w:rsidTr="009A692A">
        <w:tc>
          <w:tcPr>
            <w:tcW w:w="2127" w:type="dxa"/>
          </w:tcPr>
          <w:p w14:paraId="3E8F326E" w14:textId="77777777" w:rsidR="00D32C53" w:rsidRPr="00D41787" w:rsidRDefault="00D32C53" w:rsidP="000E009B">
            <w:pPr>
              <w:pStyle w:val="BulletsL1"/>
              <w:numPr>
                <w:ilvl w:val="1"/>
                <w:numId w:val="17"/>
              </w:numPr>
              <w:jc w:val="left"/>
            </w:pPr>
            <w:r w:rsidRPr="00D41787">
              <w:t>Optimise TEQSA’s application of the Higher Education Standards Framework to foster internal quality assurance purposes</w:t>
            </w:r>
          </w:p>
          <w:p w14:paraId="168E868C" w14:textId="77777777" w:rsidR="00D32C53" w:rsidRPr="00D41787" w:rsidRDefault="00D32C53" w:rsidP="000E009B">
            <w:pPr>
              <w:pStyle w:val="BulletsL1"/>
              <w:numPr>
                <w:ilvl w:val="1"/>
                <w:numId w:val="17"/>
              </w:numPr>
              <w:jc w:val="left"/>
            </w:pPr>
            <w:r w:rsidRPr="00D41787">
              <w:t xml:space="preserve">Provide guidance to providers on enhancing internal quality assurance </w:t>
            </w:r>
          </w:p>
        </w:tc>
        <w:tc>
          <w:tcPr>
            <w:tcW w:w="3685" w:type="dxa"/>
          </w:tcPr>
          <w:p w14:paraId="74CC6181" w14:textId="77777777" w:rsidR="00D32C53" w:rsidRDefault="00D32C53" w:rsidP="000E009B">
            <w:pPr>
              <w:pStyle w:val="BulletsL1"/>
              <w:numPr>
                <w:ilvl w:val="1"/>
                <w:numId w:val="17"/>
              </w:numPr>
              <w:jc w:val="left"/>
            </w:pPr>
            <w:r w:rsidRPr="00D41787">
              <w:t>Enhanced internal quality assurance systems are reflected in reduced regulatory burden for providers</w:t>
            </w:r>
          </w:p>
          <w:p w14:paraId="4CC4B724" w14:textId="77777777" w:rsidR="00D32C53" w:rsidRDefault="00D32C53" w:rsidP="000E009B">
            <w:pPr>
              <w:pStyle w:val="BulletsL1"/>
              <w:numPr>
                <w:ilvl w:val="1"/>
                <w:numId w:val="17"/>
              </w:numPr>
              <w:jc w:val="left"/>
            </w:pPr>
            <w:r>
              <w:t>The p</w:t>
            </w:r>
            <w:r w:rsidRPr="00D41787">
              <w:t xml:space="preserve">roportion of low risk providers is increasing </w:t>
            </w:r>
          </w:p>
          <w:p w14:paraId="52B48EAB" w14:textId="2D356F9E" w:rsidR="00D32C53" w:rsidRDefault="00D32C53" w:rsidP="00840EB4">
            <w:pPr>
              <w:pStyle w:val="BulletsL1"/>
              <w:numPr>
                <w:ilvl w:val="1"/>
                <w:numId w:val="17"/>
              </w:numPr>
              <w:jc w:val="left"/>
            </w:pPr>
            <w:r w:rsidRPr="00D41787">
              <w:t xml:space="preserve">Enhanced capacity of providers to meet the requirements of TEQSA’s </w:t>
            </w:r>
            <w:r>
              <w:t>quality assurance</w:t>
            </w:r>
          </w:p>
        </w:tc>
        <w:tc>
          <w:tcPr>
            <w:tcW w:w="4394" w:type="dxa"/>
          </w:tcPr>
          <w:p w14:paraId="00513F1A" w14:textId="77777777" w:rsidR="00840EB4" w:rsidRDefault="00840EB4" w:rsidP="00840EB4">
            <w:pPr>
              <w:pStyle w:val="BulletsL1"/>
              <w:numPr>
                <w:ilvl w:val="0"/>
                <w:numId w:val="0"/>
              </w:numPr>
              <w:jc w:val="left"/>
            </w:pPr>
            <w:r w:rsidRPr="0043380E">
              <w:rPr>
                <w:b/>
              </w:rPr>
              <w:t>Regulation by TEQSA does not unnecessarily impede the efficient operation of higher education providers</w:t>
            </w:r>
            <w:r w:rsidRPr="00AC2B54">
              <w:t xml:space="preserve"> (KPI 1)</w:t>
            </w:r>
            <w:r>
              <w:t>. TEQSA has:</w:t>
            </w:r>
          </w:p>
          <w:p w14:paraId="531C66B2" w14:textId="01435797" w:rsidR="00D32C53" w:rsidRDefault="00840EB4" w:rsidP="00840EB4">
            <w:pPr>
              <w:pStyle w:val="BulletsL1"/>
              <w:numPr>
                <w:ilvl w:val="0"/>
                <w:numId w:val="49"/>
              </w:numPr>
              <w:jc w:val="left"/>
            </w:pPr>
            <w:r>
              <w:t>achieved a</w:t>
            </w:r>
            <w:r w:rsidRPr="00AE4C83">
              <w:t xml:space="preserve"> series of reductions in administrative burden already achieved, with </w:t>
            </w:r>
            <w:r w:rsidR="006811EA">
              <w:t>more</w:t>
            </w:r>
            <w:r w:rsidRPr="00AE4C83">
              <w:t xml:space="preserve"> in progress</w:t>
            </w:r>
            <w:r w:rsidR="009D087E">
              <w:t>.</w:t>
            </w:r>
          </w:p>
          <w:p w14:paraId="1D4F5F8D" w14:textId="0F83F926" w:rsidR="00840EB4" w:rsidRPr="00D41787" w:rsidRDefault="00840EB4" w:rsidP="00840EB4">
            <w:pPr>
              <w:pStyle w:val="BulletsL1"/>
              <w:numPr>
                <w:ilvl w:val="0"/>
                <w:numId w:val="49"/>
              </w:numPr>
              <w:jc w:val="left"/>
            </w:pPr>
            <w:r>
              <w:t>established a case management model for regulatory processes allowing tailoring of processes according to the circumstances of the individual providers</w:t>
            </w:r>
            <w:r w:rsidR="009D087E">
              <w:t>.</w:t>
            </w:r>
          </w:p>
        </w:tc>
      </w:tr>
    </w:tbl>
    <w:p w14:paraId="607E16B7" w14:textId="77777777" w:rsidR="000E009B" w:rsidRPr="00583B43" w:rsidRDefault="000E009B" w:rsidP="000E009B"/>
    <w:p w14:paraId="45EED982" w14:textId="77777777" w:rsidR="000E009B" w:rsidRDefault="000E009B" w:rsidP="002B7E23">
      <w:pPr>
        <w:rPr>
          <w:rFonts w:eastAsia="Arial" w:cs="Arial"/>
        </w:rPr>
      </w:pPr>
    </w:p>
    <w:sectPr w:rsidR="000E009B" w:rsidSect="004536F2">
      <w:headerReference w:type="even" r:id="rId15"/>
      <w:headerReference w:type="default" r:id="rId16"/>
      <w:footerReference w:type="even" r:id="rId17"/>
      <w:footerReference w:type="default" r:id="rId18"/>
      <w:headerReference w:type="first" r:id="rId19"/>
      <w:footerReference w:type="first" r:id="rId20"/>
      <w:pgSz w:w="11906" w:h="16838"/>
      <w:pgMar w:top="1440" w:right="707" w:bottom="1134" w:left="1276" w:header="85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6CD69" w14:textId="77777777" w:rsidR="000472CF" w:rsidRDefault="000472CF" w:rsidP="009608F7">
      <w:pPr>
        <w:spacing w:after="0" w:line="240" w:lineRule="auto"/>
      </w:pPr>
      <w:r>
        <w:separator/>
      </w:r>
    </w:p>
  </w:endnote>
  <w:endnote w:type="continuationSeparator" w:id="0">
    <w:p w14:paraId="28A6CD6A" w14:textId="77777777" w:rsidR="000472CF" w:rsidRDefault="000472CF" w:rsidP="0096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8032A" w14:textId="77777777" w:rsidR="00B30CAE" w:rsidRDefault="00B30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99457"/>
      <w:docPartObj>
        <w:docPartGallery w:val="Page Numbers (Bottom of Page)"/>
        <w:docPartUnique/>
      </w:docPartObj>
    </w:sdtPr>
    <w:sdtEndPr>
      <w:rPr>
        <w:noProof/>
      </w:rPr>
    </w:sdtEndPr>
    <w:sdtContent>
      <w:p w14:paraId="58969D51" w14:textId="22E39C8F" w:rsidR="006557A8" w:rsidRDefault="006557A8" w:rsidP="006557A8">
        <w:pPr>
          <w:pStyle w:val="Footer"/>
        </w:pPr>
        <w:r>
          <w:fldChar w:fldCharType="begin"/>
        </w:r>
        <w:r>
          <w:instrText xml:space="preserve"> PAGE   \* MERGEFORMAT </w:instrText>
        </w:r>
        <w:r>
          <w:fldChar w:fldCharType="separate"/>
        </w:r>
        <w:r w:rsidR="002B5C24">
          <w:rPr>
            <w:noProof/>
          </w:rPr>
          <w:t>10</w:t>
        </w:r>
        <w:r>
          <w:rPr>
            <w:noProof/>
          </w:rPr>
          <w:fldChar w:fldCharType="end"/>
        </w:r>
        <w:r>
          <w:rPr>
            <w:noProof/>
          </w:rPr>
          <w:tab/>
        </w:r>
        <w:r>
          <w:rPr>
            <w:noProof/>
          </w:rPr>
          <w:fldChar w:fldCharType="begin"/>
        </w:r>
        <w:r>
          <w:rPr>
            <w:noProof/>
          </w:rPr>
          <w:instrText xml:space="preserve"> FILENAME   \* MERGEFORMAT </w:instrText>
        </w:r>
        <w:r>
          <w:rPr>
            <w:noProof/>
          </w:rPr>
          <w:fldChar w:fldCharType="separate"/>
        </w:r>
        <w:r w:rsidR="002B5C24">
          <w:rPr>
            <w:noProof/>
          </w:rPr>
          <w:t>v1.0_TEQSA RPF Framework_2015-16.docx</w:t>
        </w:r>
        <w:r>
          <w:rPr>
            <w:noProof/>
          </w:rPr>
          <w:fldChar w:fldCharType="end"/>
        </w:r>
      </w:p>
    </w:sdtContent>
  </w:sdt>
  <w:p w14:paraId="11BFF1D5" w14:textId="387E191F" w:rsidR="00BF33EB" w:rsidRDefault="00BF33EB" w:rsidP="00B96C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4FDE6" w14:textId="77777777" w:rsidR="00B30CAE" w:rsidRDefault="00B30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6CD67" w14:textId="77777777" w:rsidR="000472CF" w:rsidRDefault="000472CF" w:rsidP="009608F7">
      <w:pPr>
        <w:spacing w:after="0" w:line="240" w:lineRule="auto"/>
      </w:pPr>
      <w:r>
        <w:separator/>
      </w:r>
    </w:p>
  </w:footnote>
  <w:footnote w:type="continuationSeparator" w:id="0">
    <w:p w14:paraId="28A6CD68" w14:textId="77777777" w:rsidR="000472CF" w:rsidRDefault="000472CF" w:rsidP="00960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C586D" w14:textId="77777777" w:rsidR="00B30CAE" w:rsidRDefault="00B30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0275" w14:textId="77777777" w:rsidR="00B30CAE" w:rsidRDefault="00B30C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AE9BF" w14:textId="77777777" w:rsidR="00B30CAE" w:rsidRDefault="00B30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FC0"/>
    <w:multiLevelType w:val="multilevel"/>
    <w:tmpl w:val="939440F0"/>
    <w:lvl w:ilvl="0">
      <w:start w:val="1"/>
      <w:numFmt w:val="bullet"/>
      <w:lvlText w:val="o"/>
      <w:lvlJc w:val="left"/>
      <w:pPr>
        <w:ind w:left="720" w:hanging="360"/>
      </w:pPr>
      <w:rPr>
        <w:rFonts w:ascii="Courier New" w:hAnsi="Courier New" w:cs="Courier New" w:hint="default"/>
      </w:rPr>
    </w:lvl>
    <w:lvl w:ilvl="1">
      <w:start w:val="1"/>
      <w:numFmt w:val="bullet"/>
      <w:lvlText w:val="4"/>
      <w:lvlJc w:val="left"/>
      <w:pPr>
        <w:ind w:left="720" w:hanging="360"/>
      </w:pPr>
      <w:rPr>
        <w:rFonts w:ascii="Webdings" w:hAnsi="Webdings" w:hint="default"/>
        <w:color w:val="004855"/>
      </w:rPr>
    </w:lvl>
    <w:lvl w:ilvl="2">
      <w:start w:val="1"/>
      <w:numFmt w:val="bullet"/>
      <w:lvlText w:val="o"/>
      <w:lvlJc w:val="left"/>
      <w:pPr>
        <w:ind w:left="1080" w:hanging="720"/>
      </w:pPr>
      <w:rPr>
        <w:rFonts w:ascii="Courier New" w:hAnsi="Courier New" w:cs="Courier New"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nsid w:val="0C060715"/>
    <w:multiLevelType w:val="hybridMultilevel"/>
    <w:tmpl w:val="E02A651A"/>
    <w:lvl w:ilvl="0" w:tplc="25020048">
      <w:start w:val="1"/>
      <w:numFmt w:val="bullet"/>
      <w:lvlText w:val="4"/>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B1680E"/>
    <w:multiLevelType w:val="hybridMultilevel"/>
    <w:tmpl w:val="6B0AB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5E2CCA"/>
    <w:multiLevelType w:val="hybridMultilevel"/>
    <w:tmpl w:val="8D625EDA"/>
    <w:lvl w:ilvl="0" w:tplc="E12294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027ABD"/>
    <w:multiLevelType w:val="hybridMultilevel"/>
    <w:tmpl w:val="E038649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A6C5854"/>
    <w:multiLevelType w:val="hybridMultilevel"/>
    <w:tmpl w:val="91087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5A2E56"/>
    <w:multiLevelType w:val="hybridMultilevel"/>
    <w:tmpl w:val="3A9CDA22"/>
    <w:lvl w:ilvl="0" w:tplc="F50EB21A">
      <w:start w:val="1"/>
      <w:numFmt w:val="bullet"/>
      <w:pStyle w:val="BulletsL2"/>
      <w:lvlText w:val="4"/>
      <w:lvlJc w:val="left"/>
      <w:pPr>
        <w:ind w:left="1146" w:hanging="360"/>
      </w:pPr>
      <w:rPr>
        <w:rFonts w:ascii="Webdings" w:hAnsi="Webdings" w:hint="default"/>
        <w:color w:val="00A6A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nsid w:val="21EE63B2"/>
    <w:multiLevelType w:val="hybridMultilevel"/>
    <w:tmpl w:val="FB3499C2"/>
    <w:lvl w:ilvl="0" w:tplc="0C090003">
      <w:start w:val="1"/>
      <w:numFmt w:val="bullet"/>
      <w:pStyle w:val="BulletsL1"/>
      <w:lvlText w:val="o"/>
      <w:lvlJc w:val="left"/>
      <w:pPr>
        <w:ind w:left="720" w:hanging="360"/>
      </w:pPr>
      <w:rPr>
        <w:rFonts w:ascii="Courier New" w:hAnsi="Courier New" w:cs="Courier New" w:hint="default"/>
        <w:color w:val="00485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3430D8"/>
    <w:multiLevelType w:val="hybridMultilevel"/>
    <w:tmpl w:val="5C1AB5EE"/>
    <w:lvl w:ilvl="0" w:tplc="02000028">
      <w:start w:val="1"/>
      <w:numFmt w:val="bullet"/>
      <w:pStyle w:val="BulletsL3"/>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3612EE"/>
    <w:multiLevelType w:val="hybridMultilevel"/>
    <w:tmpl w:val="D6A40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7180F8D"/>
    <w:multiLevelType w:val="hybridMultilevel"/>
    <w:tmpl w:val="8F32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E04F26"/>
    <w:multiLevelType w:val="hybridMultilevel"/>
    <w:tmpl w:val="FA368B84"/>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97F3AFA"/>
    <w:multiLevelType w:val="hybridMultilevel"/>
    <w:tmpl w:val="A52282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BBA3B5D"/>
    <w:multiLevelType w:val="hybridMultilevel"/>
    <w:tmpl w:val="55983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E30BAD"/>
    <w:multiLevelType w:val="multilevel"/>
    <w:tmpl w:val="5482885C"/>
    <w:lvl w:ilvl="0">
      <w:start w:val="4"/>
      <w:numFmt w:val="decimal"/>
      <w:lvlText w:val="%1"/>
      <w:lvlJc w:val="left"/>
      <w:pPr>
        <w:ind w:left="360" w:hanging="360"/>
      </w:pPr>
      <w:rPr>
        <w:rFonts w:hint="default"/>
      </w:rPr>
    </w:lvl>
    <w:lvl w:ilvl="1">
      <w:start w:val="1"/>
      <w:numFmt w:val="bullet"/>
      <w:lvlText w:val="4"/>
      <w:lvlJc w:val="left"/>
      <w:pPr>
        <w:ind w:left="360" w:hanging="360"/>
      </w:pPr>
      <w:rPr>
        <w:rFonts w:ascii="Webdings" w:hAnsi="Webdings" w:hint="default"/>
        <w:color w:val="00485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0E1D7E"/>
    <w:multiLevelType w:val="hybridMultilevel"/>
    <w:tmpl w:val="36B66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1EE3A62"/>
    <w:multiLevelType w:val="hybridMultilevel"/>
    <w:tmpl w:val="288C0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27C6A89"/>
    <w:multiLevelType w:val="hybridMultilevel"/>
    <w:tmpl w:val="CA9C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EA7DE8"/>
    <w:multiLevelType w:val="hybridMultilevel"/>
    <w:tmpl w:val="4E0A59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4EF62BF"/>
    <w:multiLevelType w:val="hybridMultilevel"/>
    <w:tmpl w:val="9CF03B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5B529CB"/>
    <w:multiLevelType w:val="hybridMultilevel"/>
    <w:tmpl w:val="FC2852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84E41A3"/>
    <w:multiLevelType w:val="hybridMultilevel"/>
    <w:tmpl w:val="A1DA915E"/>
    <w:lvl w:ilvl="0" w:tplc="0C090001">
      <w:start w:val="1"/>
      <w:numFmt w:val="bullet"/>
      <w:lvlText w:val=""/>
      <w:lvlJc w:val="left"/>
      <w:pPr>
        <w:ind w:left="360" w:hanging="360"/>
      </w:pPr>
      <w:rPr>
        <w:rFonts w:ascii="Symbol" w:hAnsi="Symbol" w:hint="default"/>
        <w:color w:val="004855"/>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1564A3E"/>
    <w:multiLevelType w:val="hybridMultilevel"/>
    <w:tmpl w:val="00D68B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1674378"/>
    <w:multiLevelType w:val="hybridMultilevel"/>
    <w:tmpl w:val="0424497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nsid w:val="454D663B"/>
    <w:multiLevelType w:val="hybridMultilevel"/>
    <w:tmpl w:val="6BDA0932"/>
    <w:lvl w:ilvl="0" w:tplc="17DA7ADA">
      <w:start w:val="1"/>
      <w:numFmt w:val="bullet"/>
      <w:lvlText w:val="4"/>
      <w:lvlJc w:val="left"/>
      <w:pPr>
        <w:ind w:left="1080" w:hanging="360"/>
      </w:pPr>
      <w:rPr>
        <w:rFonts w:ascii="Webdings" w:hAnsi="Webdings" w:hint="default"/>
        <w:color w:val="004855"/>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9C55E11"/>
    <w:multiLevelType w:val="hybridMultilevel"/>
    <w:tmpl w:val="D68427B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9C0D1A"/>
    <w:multiLevelType w:val="hybridMultilevel"/>
    <w:tmpl w:val="8836D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A8355D"/>
    <w:multiLevelType w:val="hybridMultilevel"/>
    <w:tmpl w:val="9BE06538"/>
    <w:lvl w:ilvl="0" w:tplc="7ED65C78">
      <w:start w:val="1"/>
      <w:numFmt w:val="decimal"/>
      <w:pStyle w:val="Numbered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555500"/>
    <w:multiLevelType w:val="hybridMultilevel"/>
    <w:tmpl w:val="37EA8FF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4750B6"/>
    <w:multiLevelType w:val="multilevel"/>
    <w:tmpl w:val="5D4816FA"/>
    <w:lvl w:ilvl="0">
      <w:start w:val="4"/>
      <w:numFmt w:val="decimal"/>
      <w:lvlText w:val="%1"/>
      <w:lvlJc w:val="left"/>
      <w:pPr>
        <w:ind w:left="360" w:hanging="360"/>
      </w:pPr>
      <w:rPr>
        <w:rFonts w:hint="default"/>
      </w:rPr>
    </w:lvl>
    <w:lvl w:ilvl="1">
      <w:start w:val="1"/>
      <w:numFmt w:val="bullet"/>
      <w:lvlText w:val="4"/>
      <w:lvlJc w:val="left"/>
      <w:pPr>
        <w:ind w:left="360" w:hanging="360"/>
      </w:pPr>
      <w:rPr>
        <w:rFonts w:ascii="Webdings" w:hAnsi="Webdings" w:hint="default"/>
        <w:color w:val="004855"/>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4D24BC"/>
    <w:multiLevelType w:val="hybridMultilevel"/>
    <w:tmpl w:val="CB0E8DDE"/>
    <w:lvl w:ilvl="0" w:tplc="0C090001">
      <w:start w:val="1"/>
      <w:numFmt w:val="bullet"/>
      <w:lvlText w:val=""/>
      <w:lvlJc w:val="left"/>
      <w:pPr>
        <w:ind w:left="360" w:hanging="360"/>
      </w:pPr>
      <w:rPr>
        <w:rFonts w:ascii="Symbol" w:hAnsi="Symbol" w:hint="default"/>
        <w:color w:val="004855"/>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9BF3FEC"/>
    <w:multiLevelType w:val="hybridMultilevel"/>
    <w:tmpl w:val="F1305F00"/>
    <w:lvl w:ilvl="0" w:tplc="17DA7ADA">
      <w:start w:val="1"/>
      <w:numFmt w:val="bullet"/>
      <w:lvlText w:val="4"/>
      <w:lvlJc w:val="left"/>
      <w:pPr>
        <w:ind w:left="1080" w:hanging="360"/>
      </w:pPr>
      <w:rPr>
        <w:rFonts w:ascii="Webdings" w:hAnsi="Webdings" w:hint="default"/>
        <w:color w:val="004855"/>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AB76A7B"/>
    <w:multiLevelType w:val="hybridMultilevel"/>
    <w:tmpl w:val="73AABE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34C2349"/>
    <w:multiLevelType w:val="hybridMultilevel"/>
    <w:tmpl w:val="CE3089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DD01F0F"/>
    <w:multiLevelType w:val="hybridMultilevel"/>
    <w:tmpl w:val="1EC24648"/>
    <w:lvl w:ilvl="0" w:tplc="17DA7ADA">
      <w:start w:val="1"/>
      <w:numFmt w:val="bullet"/>
      <w:lvlText w:val="4"/>
      <w:lvlJc w:val="left"/>
      <w:pPr>
        <w:ind w:left="360" w:hanging="360"/>
      </w:pPr>
      <w:rPr>
        <w:rFonts w:ascii="Webdings" w:hAnsi="Webdings" w:hint="default"/>
        <w:color w:val="004855"/>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DF23692"/>
    <w:multiLevelType w:val="hybridMultilevel"/>
    <w:tmpl w:val="884C2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E517689"/>
    <w:multiLevelType w:val="hybridMultilevel"/>
    <w:tmpl w:val="421CA16C"/>
    <w:lvl w:ilvl="0" w:tplc="16EEEEA2">
      <w:start w:val="1"/>
      <w:numFmt w:val="lowerLetter"/>
      <w:pStyle w:val="Numberedtext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3625743"/>
    <w:multiLevelType w:val="hybridMultilevel"/>
    <w:tmpl w:val="B74EE004"/>
    <w:lvl w:ilvl="0" w:tplc="17DA7ADA">
      <w:start w:val="1"/>
      <w:numFmt w:val="bullet"/>
      <w:lvlText w:val="4"/>
      <w:lvlJc w:val="left"/>
      <w:pPr>
        <w:ind w:left="360" w:hanging="360"/>
      </w:pPr>
      <w:rPr>
        <w:rFonts w:ascii="Webdings" w:hAnsi="Webdings" w:hint="default"/>
        <w:color w:val="004855"/>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3AC4CC8"/>
    <w:multiLevelType w:val="hybridMultilevel"/>
    <w:tmpl w:val="B9800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77458B"/>
    <w:multiLevelType w:val="hybridMultilevel"/>
    <w:tmpl w:val="582CE3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7A3A4D02"/>
    <w:multiLevelType w:val="hybridMultilevel"/>
    <w:tmpl w:val="15B654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B925170"/>
    <w:multiLevelType w:val="hybridMultilevel"/>
    <w:tmpl w:val="4030E96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7BC75174"/>
    <w:multiLevelType w:val="hybridMultilevel"/>
    <w:tmpl w:val="C570C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C1B7A87"/>
    <w:multiLevelType w:val="hybridMultilevel"/>
    <w:tmpl w:val="B71AE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8"/>
  </w:num>
  <w:num w:numId="6">
    <w:abstractNumId w:val="7"/>
  </w:num>
  <w:num w:numId="7">
    <w:abstractNumId w:val="6"/>
  </w:num>
  <w:num w:numId="8">
    <w:abstractNumId w:val="8"/>
  </w:num>
  <w:num w:numId="9">
    <w:abstractNumId w:val="7"/>
  </w:num>
  <w:num w:numId="10">
    <w:abstractNumId w:val="6"/>
  </w:num>
  <w:num w:numId="11">
    <w:abstractNumId w:val="8"/>
  </w:num>
  <w:num w:numId="12">
    <w:abstractNumId w:val="27"/>
  </w:num>
  <w:num w:numId="13">
    <w:abstractNumId w:val="36"/>
  </w:num>
  <w:num w:numId="14">
    <w:abstractNumId w:val="33"/>
  </w:num>
  <w:num w:numId="15">
    <w:abstractNumId w:val="4"/>
  </w:num>
  <w:num w:numId="16">
    <w:abstractNumId w:val="23"/>
  </w:num>
  <w:num w:numId="17">
    <w:abstractNumId w:val="14"/>
  </w:num>
  <w:num w:numId="18">
    <w:abstractNumId w:val="29"/>
  </w:num>
  <w:num w:numId="19">
    <w:abstractNumId w:val="0"/>
  </w:num>
  <w:num w:numId="20">
    <w:abstractNumId w:val="41"/>
  </w:num>
  <w:num w:numId="21">
    <w:abstractNumId w:val="12"/>
  </w:num>
  <w:num w:numId="22">
    <w:abstractNumId w:val="3"/>
  </w:num>
  <w:num w:numId="23">
    <w:abstractNumId w:val="22"/>
  </w:num>
  <w:num w:numId="24">
    <w:abstractNumId w:val="38"/>
  </w:num>
  <w:num w:numId="25">
    <w:abstractNumId w:val="42"/>
  </w:num>
  <w:num w:numId="26">
    <w:abstractNumId w:val="19"/>
  </w:num>
  <w:num w:numId="27">
    <w:abstractNumId w:val="32"/>
  </w:num>
  <w:num w:numId="28">
    <w:abstractNumId w:val="35"/>
  </w:num>
  <w:num w:numId="29">
    <w:abstractNumId w:val="2"/>
  </w:num>
  <w:num w:numId="30">
    <w:abstractNumId w:val="17"/>
  </w:num>
  <w:num w:numId="31">
    <w:abstractNumId w:val="5"/>
  </w:num>
  <w:num w:numId="32">
    <w:abstractNumId w:val="43"/>
  </w:num>
  <w:num w:numId="33">
    <w:abstractNumId w:val="26"/>
  </w:num>
  <w:num w:numId="34">
    <w:abstractNumId w:val="28"/>
  </w:num>
  <w:num w:numId="35">
    <w:abstractNumId w:val="25"/>
  </w:num>
  <w:num w:numId="36">
    <w:abstractNumId w:val="21"/>
  </w:num>
  <w:num w:numId="37">
    <w:abstractNumId w:val="16"/>
  </w:num>
  <w:num w:numId="38">
    <w:abstractNumId w:val="9"/>
  </w:num>
  <w:num w:numId="39">
    <w:abstractNumId w:val="20"/>
  </w:num>
  <w:num w:numId="40">
    <w:abstractNumId w:val="18"/>
  </w:num>
  <w:num w:numId="41">
    <w:abstractNumId w:val="13"/>
  </w:num>
  <w:num w:numId="42">
    <w:abstractNumId w:val="39"/>
  </w:num>
  <w:num w:numId="43">
    <w:abstractNumId w:val="34"/>
  </w:num>
  <w:num w:numId="44">
    <w:abstractNumId w:val="24"/>
  </w:num>
  <w:num w:numId="45">
    <w:abstractNumId w:val="30"/>
  </w:num>
  <w:num w:numId="46">
    <w:abstractNumId w:val="40"/>
  </w:num>
  <w:num w:numId="47">
    <w:abstractNumId w:val="37"/>
  </w:num>
  <w:num w:numId="48">
    <w:abstractNumId w:val="31"/>
  </w:num>
  <w:num w:numId="49">
    <w:abstractNumId w:val="1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CF"/>
    <w:rsid w:val="00007BA4"/>
    <w:rsid w:val="00037600"/>
    <w:rsid w:val="000472CF"/>
    <w:rsid w:val="00055BA8"/>
    <w:rsid w:val="0007382B"/>
    <w:rsid w:val="000D1224"/>
    <w:rsid w:val="000E009B"/>
    <w:rsid w:val="001847BC"/>
    <w:rsid w:val="00184D03"/>
    <w:rsid w:val="001A7D2D"/>
    <w:rsid w:val="001D34B8"/>
    <w:rsid w:val="001F7A6E"/>
    <w:rsid w:val="0020340C"/>
    <w:rsid w:val="00210EC7"/>
    <w:rsid w:val="0022156D"/>
    <w:rsid w:val="002321CB"/>
    <w:rsid w:val="00244838"/>
    <w:rsid w:val="00265730"/>
    <w:rsid w:val="00271C2A"/>
    <w:rsid w:val="00273763"/>
    <w:rsid w:val="002868AF"/>
    <w:rsid w:val="002B5C24"/>
    <w:rsid w:val="002B7E23"/>
    <w:rsid w:val="002F3BA7"/>
    <w:rsid w:val="003046D4"/>
    <w:rsid w:val="00325CD3"/>
    <w:rsid w:val="00333305"/>
    <w:rsid w:val="00351F96"/>
    <w:rsid w:val="00352224"/>
    <w:rsid w:val="00356B49"/>
    <w:rsid w:val="003641E1"/>
    <w:rsid w:val="00371A3E"/>
    <w:rsid w:val="003973F2"/>
    <w:rsid w:val="003A732B"/>
    <w:rsid w:val="003F20F6"/>
    <w:rsid w:val="00413364"/>
    <w:rsid w:val="0043380E"/>
    <w:rsid w:val="004452C0"/>
    <w:rsid w:val="004536F2"/>
    <w:rsid w:val="00461455"/>
    <w:rsid w:val="00494DE1"/>
    <w:rsid w:val="004C21F8"/>
    <w:rsid w:val="004C3D55"/>
    <w:rsid w:val="004D427E"/>
    <w:rsid w:val="00507DB8"/>
    <w:rsid w:val="005660E5"/>
    <w:rsid w:val="00571A10"/>
    <w:rsid w:val="005808D6"/>
    <w:rsid w:val="00583B43"/>
    <w:rsid w:val="00584A5A"/>
    <w:rsid w:val="005B3C68"/>
    <w:rsid w:val="005D6CAE"/>
    <w:rsid w:val="005E4D00"/>
    <w:rsid w:val="005E58DE"/>
    <w:rsid w:val="006148D2"/>
    <w:rsid w:val="006557A8"/>
    <w:rsid w:val="006811EA"/>
    <w:rsid w:val="00683D8C"/>
    <w:rsid w:val="006879E1"/>
    <w:rsid w:val="006A2232"/>
    <w:rsid w:val="006E59C1"/>
    <w:rsid w:val="007101FC"/>
    <w:rsid w:val="007246FE"/>
    <w:rsid w:val="00741223"/>
    <w:rsid w:val="007710B1"/>
    <w:rsid w:val="00774DE4"/>
    <w:rsid w:val="00776DDC"/>
    <w:rsid w:val="007D4DD9"/>
    <w:rsid w:val="00800B06"/>
    <w:rsid w:val="00832FF3"/>
    <w:rsid w:val="008360B4"/>
    <w:rsid w:val="00840EB4"/>
    <w:rsid w:val="00852F06"/>
    <w:rsid w:val="0085309D"/>
    <w:rsid w:val="00863877"/>
    <w:rsid w:val="0087752A"/>
    <w:rsid w:val="00882DB4"/>
    <w:rsid w:val="008B2FF7"/>
    <w:rsid w:val="008F6FC8"/>
    <w:rsid w:val="009278A7"/>
    <w:rsid w:val="00942BBE"/>
    <w:rsid w:val="00951B1E"/>
    <w:rsid w:val="00957498"/>
    <w:rsid w:val="009608F7"/>
    <w:rsid w:val="009618DE"/>
    <w:rsid w:val="00964FEF"/>
    <w:rsid w:val="009A692A"/>
    <w:rsid w:val="009C1482"/>
    <w:rsid w:val="009C237B"/>
    <w:rsid w:val="009D087E"/>
    <w:rsid w:val="009F022C"/>
    <w:rsid w:val="00A642E7"/>
    <w:rsid w:val="00AA79C8"/>
    <w:rsid w:val="00AC2B54"/>
    <w:rsid w:val="00AC5184"/>
    <w:rsid w:val="00AC6EE6"/>
    <w:rsid w:val="00AE609B"/>
    <w:rsid w:val="00AF5685"/>
    <w:rsid w:val="00B00812"/>
    <w:rsid w:val="00B152EC"/>
    <w:rsid w:val="00B23BC1"/>
    <w:rsid w:val="00B30CAE"/>
    <w:rsid w:val="00B31C21"/>
    <w:rsid w:val="00B45E46"/>
    <w:rsid w:val="00B479FD"/>
    <w:rsid w:val="00B917C5"/>
    <w:rsid w:val="00B920EB"/>
    <w:rsid w:val="00B96C37"/>
    <w:rsid w:val="00BE6546"/>
    <w:rsid w:val="00BF33EB"/>
    <w:rsid w:val="00C22D73"/>
    <w:rsid w:val="00C430A7"/>
    <w:rsid w:val="00C74EE7"/>
    <w:rsid w:val="00C84923"/>
    <w:rsid w:val="00C91027"/>
    <w:rsid w:val="00CA27E3"/>
    <w:rsid w:val="00CA54C6"/>
    <w:rsid w:val="00CC03E4"/>
    <w:rsid w:val="00CD1A25"/>
    <w:rsid w:val="00CE10EA"/>
    <w:rsid w:val="00CE29C6"/>
    <w:rsid w:val="00D00B07"/>
    <w:rsid w:val="00D2206F"/>
    <w:rsid w:val="00D32C53"/>
    <w:rsid w:val="00D47C72"/>
    <w:rsid w:val="00D66E35"/>
    <w:rsid w:val="00D8208C"/>
    <w:rsid w:val="00D85240"/>
    <w:rsid w:val="00DC0FF0"/>
    <w:rsid w:val="00DD0FDF"/>
    <w:rsid w:val="00DD6ADB"/>
    <w:rsid w:val="00DE5622"/>
    <w:rsid w:val="00E044B4"/>
    <w:rsid w:val="00E1008F"/>
    <w:rsid w:val="00E34825"/>
    <w:rsid w:val="00E67588"/>
    <w:rsid w:val="00E83045"/>
    <w:rsid w:val="00EB1F8B"/>
    <w:rsid w:val="00EC2490"/>
    <w:rsid w:val="00EF17BF"/>
    <w:rsid w:val="00F06FFF"/>
    <w:rsid w:val="00F07B79"/>
    <w:rsid w:val="00F521C7"/>
    <w:rsid w:val="00FA048E"/>
    <w:rsid w:val="00FA5F94"/>
    <w:rsid w:val="00FC4D5A"/>
    <w:rsid w:val="00FD7C93"/>
    <w:rsid w:val="00FF2583"/>
    <w:rsid w:val="00FF5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A6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382B"/>
    <w:pPr>
      <w:spacing w:before="40" w:after="160" w:line="280" w:lineRule="exact"/>
    </w:pPr>
    <w:rPr>
      <w:rFonts w:ascii="Arial" w:hAnsi="Arial"/>
    </w:rPr>
  </w:style>
  <w:style w:type="paragraph" w:styleId="Heading1">
    <w:name w:val="heading 1"/>
    <w:basedOn w:val="Normal"/>
    <w:next w:val="Normal"/>
    <w:link w:val="Heading1Char"/>
    <w:uiPriority w:val="9"/>
    <w:qFormat/>
    <w:rsid w:val="00741223"/>
    <w:pPr>
      <w:keepNext/>
      <w:keepLines/>
      <w:spacing w:before="160" w:after="240" w:line="480" w:lineRule="exact"/>
      <w:outlineLvl w:val="0"/>
    </w:pPr>
    <w:rPr>
      <w:rFonts w:ascii="Georgia" w:eastAsiaTheme="majorEastAsia" w:hAnsi="Georgia" w:cstheme="majorBidi"/>
      <w:b/>
      <w:bCs/>
      <w:color w:val="004855" w:themeColor="text1"/>
      <w:sz w:val="44"/>
      <w:szCs w:val="28"/>
    </w:rPr>
  </w:style>
  <w:style w:type="paragraph" w:styleId="Heading2">
    <w:name w:val="heading 2"/>
    <w:basedOn w:val="Normal"/>
    <w:next w:val="Normal"/>
    <w:link w:val="Heading2Char"/>
    <w:uiPriority w:val="9"/>
    <w:unhideWhenUsed/>
    <w:qFormat/>
    <w:rsid w:val="00C22D73"/>
    <w:pPr>
      <w:keepNext/>
      <w:keepLines/>
      <w:spacing w:before="240" w:after="80" w:line="360" w:lineRule="exact"/>
      <w:outlineLvl w:val="1"/>
    </w:pPr>
    <w:rPr>
      <w:rFonts w:ascii="Georgia" w:eastAsiaTheme="majorEastAsia" w:hAnsi="Georgia" w:cstheme="majorBidi"/>
      <w:b/>
      <w:bCs/>
      <w:color w:val="00A6AA" w:themeColor="background1"/>
      <w:sz w:val="32"/>
      <w:szCs w:val="26"/>
    </w:rPr>
  </w:style>
  <w:style w:type="paragraph" w:styleId="Heading3">
    <w:name w:val="heading 3"/>
    <w:basedOn w:val="Normal"/>
    <w:next w:val="Normal"/>
    <w:link w:val="Heading3Char"/>
    <w:uiPriority w:val="9"/>
    <w:unhideWhenUsed/>
    <w:qFormat/>
    <w:rsid w:val="00494DE1"/>
    <w:pPr>
      <w:keepNext/>
      <w:keepLines/>
      <w:spacing w:before="240" w:after="80" w:line="300" w:lineRule="exact"/>
      <w:outlineLvl w:val="2"/>
    </w:pPr>
    <w:rPr>
      <w:rFonts w:eastAsiaTheme="majorEastAsia" w:cstheme="majorBidi"/>
      <w:b/>
      <w:bCs/>
      <w:color w:val="407680" w:themeColor="accent2"/>
      <w:sz w:val="26"/>
    </w:rPr>
  </w:style>
  <w:style w:type="paragraph" w:styleId="Heading4">
    <w:name w:val="heading 4"/>
    <w:basedOn w:val="Normal"/>
    <w:next w:val="Normal"/>
    <w:link w:val="Heading4Char"/>
    <w:uiPriority w:val="9"/>
    <w:unhideWhenUsed/>
    <w:qFormat/>
    <w:rsid w:val="00741223"/>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741223"/>
    <w:pPr>
      <w:keepNext/>
      <w:keepLines/>
      <w:spacing w:before="200" w:after="0"/>
      <w:outlineLvl w:val="4"/>
    </w:pPr>
    <w:rPr>
      <w:rFonts w:eastAsiaTheme="majorEastAsia" w:cstheme="majorBidi"/>
      <w:i/>
    </w:rPr>
  </w:style>
  <w:style w:type="paragraph" w:styleId="Heading6">
    <w:name w:val="heading 6"/>
    <w:basedOn w:val="Normal"/>
    <w:next w:val="Normal"/>
    <w:link w:val="Heading6Char"/>
    <w:uiPriority w:val="9"/>
    <w:semiHidden/>
    <w:unhideWhenUsed/>
    <w:rsid w:val="00741223"/>
    <w:pPr>
      <w:pBdr>
        <w:bottom w:val="dotted" w:sz="8" w:space="1" w:color="7F7F7F" w:themeColor="background2" w:themeShade="7F"/>
      </w:pBdr>
      <w:spacing w:before="200" w:after="100"/>
      <w:contextualSpacing/>
      <w:outlineLvl w:val="5"/>
    </w:pPr>
    <w:rPr>
      <w:rFonts w:asciiTheme="majorHAnsi" w:eastAsiaTheme="majorEastAsia" w:hAnsiTheme="majorHAnsi" w:cstheme="majorBidi"/>
      <w:smallCaps/>
      <w:color w:val="7F7F7F" w:themeColor="background2" w:themeShade="7F"/>
      <w:spacing w:val="20"/>
    </w:rPr>
  </w:style>
  <w:style w:type="paragraph" w:styleId="Heading7">
    <w:name w:val="heading 7"/>
    <w:basedOn w:val="Normal"/>
    <w:next w:val="Normal"/>
    <w:link w:val="Heading7Char"/>
    <w:uiPriority w:val="9"/>
    <w:semiHidden/>
    <w:unhideWhenUsed/>
    <w:qFormat/>
    <w:rsid w:val="00741223"/>
    <w:pPr>
      <w:keepNext/>
      <w:keepLines/>
      <w:spacing w:before="200" w:after="0"/>
      <w:outlineLvl w:val="6"/>
    </w:pPr>
    <w:rPr>
      <w:rFonts w:asciiTheme="majorHAnsi" w:eastAsiaTheme="majorEastAsia" w:hAnsiTheme="majorHAnsi" w:cstheme="majorBidi"/>
      <w:i/>
      <w:iCs/>
      <w:color w:val="00A2BF" w:themeColor="text1" w:themeTint="BF"/>
    </w:rPr>
  </w:style>
  <w:style w:type="paragraph" w:styleId="Heading8">
    <w:name w:val="heading 8"/>
    <w:basedOn w:val="Normal"/>
    <w:next w:val="Normal"/>
    <w:link w:val="Heading8Char"/>
    <w:uiPriority w:val="9"/>
    <w:semiHidden/>
    <w:unhideWhenUsed/>
    <w:qFormat/>
    <w:rsid w:val="00741223"/>
    <w:pPr>
      <w:keepNext/>
      <w:keepLines/>
      <w:spacing w:before="200" w:after="0"/>
      <w:outlineLvl w:val="7"/>
    </w:pPr>
    <w:rPr>
      <w:rFonts w:asciiTheme="majorHAnsi" w:eastAsiaTheme="majorEastAsia" w:hAnsiTheme="majorHAnsi" w:cstheme="majorBidi"/>
      <w:color w:val="00A2BF" w:themeColor="text1" w:themeTint="BF"/>
      <w:sz w:val="20"/>
      <w:szCs w:val="20"/>
    </w:rPr>
  </w:style>
  <w:style w:type="paragraph" w:styleId="Heading9">
    <w:name w:val="heading 9"/>
    <w:basedOn w:val="Normal"/>
    <w:next w:val="Normal"/>
    <w:link w:val="Heading9Char"/>
    <w:uiPriority w:val="9"/>
    <w:semiHidden/>
    <w:unhideWhenUsed/>
    <w:qFormat/>
    <w:rsid w:val="00741223"/>
    <w:pPr>
      <w:keepNext/>
      <w:keepLines/>
      <w:spacing w:before="200" w:after="0"/>
      <w:outlineLvl w:val="8"/>
    </w:pPr>
    <w:rPr>
      <w:rFonts w:asciiTheme="majorHAnsi" w:eastAsiaTheme="majorEastAsia" w:hAnsiTheme="majorHAnsi" w:cstheme="majorBidi"/>
      <w:i/>
      <w:iCs/>
      <w:color w:val="00A2B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F7"/>
  </w:style>
  <w:style w:type="paragraph" w:styleId="Footer">
    <w:name w:val="footer"/>
    <w:basedOn w:val="Normal"/>
    <w:link w:val="FooterChar"/>
    <w:uiPriority w:val="99"/>
    <w:unhideWhenUsed/>
    <w:rsid w:val="0096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8F7"/>
  </w:style>
  <w:style w:type="paragraph" w:styleId="BalloonText">
    <w:name w:val="Balloon Text"/>
    <w:basedOn w:val="Normal"/>
    <w:link w:val="BalloonTextChar"/>
    <w:uiPriority w:val="99"/>
    <w:semiHidden/>
    <w:unhideWhenUsed/>
    <w:rsid w:val="0096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F7"/>
    <w:rPr>
      <w:rFonts w:ascii="Tahoma" w:hAnsi="Tahoma" w:cs="Tahoma"/>
      <w:sz w:val="16"/>
      <w:szCs w:val="16"/>
    </w:rPr>
  </w:style>
  <w:style w:type="character" w:customStyle="1" w:styleId="Heading1Char">
    <w:name w:val="Heading 1 Char"/>
    <w:basedOn w:val="DefaultParagraphFont"/>
    <w:link w:val="Heading1"/>
    <w:uiPriority w:val="9"/>
    <w:rsid w:val="00741223"/>
    <w:rPr>
      <w:rFonts w:ascii="Georgia" w:eastAsiaTheme="majorEastAsia" w:hAnsi="Georgia" w:cstheme="majorBidi"/>
      <w:b/>
      <w:bCs/>
      <w:color w:val="004855" w:themeColor="text1"/>
      <w:sz w:val="44"/>
      <w:szCs w:val="28"/>
    </w:rPr>
  </w:style>
  <w:style w:type="character" w:customStyle="1" w:styleId="Heading2Char">
    <w:name w:val="Heading 2 Char"/>
    <w:basedOn w:val="DefaultParagraphFont"/>
    <w:link w:val="Heading2"/>
    <w:uiPriority w:val="9"/>
    <w:rsid w:val="00C22D73"/>
    <w:rPr>
      <w:rFonts w:ascii="Georgia" w:eastAsiaTheme="majorEastAsia" w:hAnsi="Georgia" w:cstheme="majorBidi"/>
      <w:b/>
      <w:bCs/>
      <w:color w:val="00A6AA" w:themeColor="background1"/>
      <w:sz w:val="32"/>
      <w:szCs w:val="26"/>
    </w:rPr>
  </w:style>
  <w:style w:type="character" w:customStyle="1" w:styleId="Heading3Char">
    <w:name w:val="Heading 3 Char"/>
    <w:basedOn w:val="DefaultParagraphFont"/>
    <w:link w:val="Heading3"/>
    <w:uiPriority w:val="9"/>
    <w:rsid w:val="00494DE1"/>
    <w:rPr>
      <w:rFonts w:ascii="Arial" w:eastAsiaTheme="majorEastAsia" w:hAnsi="Arial" w:cstheme="majorBidi"/>
      <w:b/>
      <w:bCs/>
      <w:color w:val="407680" w:themeColor="accent2"/>
      <w:sz w:val="26"/>
    </w:rPr>
  </w:style>
  <w:style w:type="paragraph" w:styleId="ListParagraph">
    <w:name w:val="List Paragraph"/>
    <w:basedOn w:val="Normal"/>
    <w:link w:val="ListParagraphChar"/>
    <w:uiPriority w:val="34"/>
    <w:qFormat/>
    <w:rsid w:val="00741223"/>
    <w:pPr>
      <w:ind w:left="720"/>
      <w:contextualSpacing/>
    </w:pPr>
  </w:style>
  <w:style w:type="paragraph" w:customStyle="1" w:styleId="BulletsL1">
    <w:name w:val="Bullets L1"/>
    <w:basedOn w:val="ListParagraph"/>
    <w:link w:val="BulletsL1Char"/>
    <w:qFormat/>
    <w:rsid w:val="00741223"/>
    <w:pPr>
      <w:numPr>
        <w:numId w:val="3"/>
      </w:numPr>
      <w:spacing w:after="120"/>
      <w:contextualSpacing w:val="0"/>
    </w:pPr>
    <w:rPr>
      <w:lang w:val="en-US"/>
    </w:rPr>
  </w:style>
  <w:style w:type="paragraph" w:customStyle="1" w:styleId="BulletsL2">
    <w:name w:val="Bullets L2"/>
    <w:basedOn w:val="BulletsL1"/>
    <w:link w:val="BulletsL2Char"/>
    <w:qFormat/>
    <w:rsid w:val="00741223"/>
    <w:pPr>
      <w:numPr>
        <w:numId w:val="4"/>
      </w:numPr>
      <w:ind w:left="709"/>
    </w:pPr>
  </w:style>
  <w:style w:type="character" w:customStyle="1" w:styleId="ListParagraphChar">
    <w:name w:val="List Paragraph Char"/>
    <w:basedOn w:val="DefaultParagraphFont"/>
    <w:link w:val="ListParagraph"/>
    <w:uiPriority w:val="34"/>
    <w:rsid w:val="00583B43"/>
    <w:rPr>
      <w:color w:val="00C7EB" w:themeColor="text1" w:themeTint="A5"/>
    </w:rPr>
  </w:style>
  <w:style w:type="character" w:customStyle="1" w:styleId="BulletsL1Char">
    <w:name w:val="Bullets L1 Char"/>
    <w:basedOn w:val="ListParagraphChar"/>
    <w:link w:val="BulletsL1"/>
    <w:rsid w:val="00741223"/>
    <w:rPr>
      <w:rFonts w:ascii="Arial" w:hAnsi="Arial"/>
      <w:color w:val="00C7EB" w:themeColor="text1" w:themeTint="A5"/>
      <w:lang w:val="en-US"/>
    </w:rPr>
  </w:style>
  <w:style w:type="character" w:customStyle="1" w:styleId="Heading4Char">
    <w:name w:val="Heading 4 Char"/>
    <w:basedOn w:val="DefaultParagraphFont"/>
    <w:link w:val="Heading4"/>
    <w:uiPriority w:val="9"/>
    <w:rsid w:val="00741223"/>
    <w:rPr>
      <w:rFonts w:ascii="Arial" w:eastAsiaTheme="majorEastAsia" w:hAnsi="Arial" w:cstheme="majorBidi"/>
      <w:b/>
      <w:bCs/>
      <w:iCs/>
      <w:sz w:val="21"/>
    </w:rPr>
  </w:style>
  <w:style w:type="character" w:customStyle="1" w:styleId="BulletsL2Char">
    <w:name w:val="Bullets L2 Char"/>
    <w:basedOn w:val="BulletsL1Char"/>
    <w:link w:val="BulletsL2"/>
    <w:rsid w:val="00741223"/>
    <w:rPr>
      <w:rFonts w:ascii="Arial" w:hAnsi="Arial"/>
      <w:color w:val="00C7EB" w:themeColor="text1" w:themeTint="A5"/>
      <w:sz w:val="21"/>
      <w:lang w:val="en-US"/>
    </w:rPr>
  </w:style>
  <w:style w:type="character" w:customStyle="1" w:styleId="Heading5Char">
    <w:name w:val="Heading 5 Char"/>
    <w:basedOn w:val="DefaultParagraphFont"/>
    <w:link w:val="Heading5"/>
    <w:uiPriority w:val="9"/>
    <w:rsid w:val="00741223"/>
    <w:rPr>
      <w:rFonts w:ascii="Arial" w:eastAsiaTheme="majorEastAsia" w:hAnsi="Arial" w:cstheme="majorBidi"/>
      <w:i/>
      <w:sz w:val="21"/>
    </w:rPr>
  </w:style>
  <w:style w:type="paragraph" w:customStyle="1" w:styleId="BulletsL3">
    <w:name w:val="Bullets L3"/>
    <w:basedOn w:val="ListParagraph"/>
    <w:link w:val="BulletsL3Char"/>
    <w:qFormat/>
    <w:rsid w:val="00741223"/>
    <w:pPr>
      <w:numPr>
        <w:numId w:val="5"/>
      </w:numPr>
      <w:ind w:left="1134" w:hanging="425"/>
    </w:pPr>
  </w:style>
  <w:style w:type="table" w:styleId="TableGrid">
    <w:name w:val="Table Grid"/>
    <w:basedOn w:val="TableNormal"/>
    <w:uiPriority w:val="59"/>
    <w:rsid w:val="003A7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sL3Char">
    <w:name w:val="Bullets L3 Char"/>
    <w:basedOn w:val="ListParagraphChar"/>
    <w:link w:val="BulletsL3"/>
    <w:rsid w:val="00741223"/>
    <w:rPr>
      <w:rFonts w:ascii="Arial" w:hAnsi="Arial"/>
      <w:color w:val="00C7EB" w:themeColor="text1" w:themeTint="A5"/>
      <w:sz w:val="21"/>
    </w:rPr>
  </w:style>
  <w:style w:type="table" w:styleId="LightList-Accent5">
    <w:name w:val="Light List Accent 5"/>
    <w:basedOn w:val="TableNormal"/>
    <w:uiPriority w:val="61"/>
    <w:rsid w:val="003A732B"/>
    <w:pPr>
      <w:spacing w:after="0" w:line="240" w:lineRule="auto"/>
    </w:pPr>
    <w:tblPr>
      <w:tblStyleRowBandSize w:val="1"/>
      <w:tblStyleColBandSize w:val="1"/>
      <w:tblInd w:w="0" w:type="dxa"/>
      <w:tblBorders>
        <w:top w:val="single" w:sz="8" w:space="0" w:color="E6EDEF" w:themeColor="accent5"/>
        <w:left w:val="single" w:sz="8" w:space="0" w:color="E6EDEF" w:themeColor="accent5"/>
        <w:bottom w:val="single" w:sz="8" w:space="0" w:color="E6EDEF" w:themeColor="accent5"/>
        <w:right w:val="single" w:sz="8" w:space="0" w:color="E6EDEF" w:themeColor="accent5"/>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E6EDEF" w:themeFill="accent5"/>
      </w:tcPr>
    </w:tblStylePr>
    <w:tblStylePr w:type="lastRow">
      <w:pPr>
        <w:spacing w:before="0" w:after="0" w:line="240" w:lineRule="auto"/>
      </w:pPr>
      <w:rPr>
        <w:b/>
        <w:bCs/>
      </w:rPr>
      <w:tblPr/>
      <w:tcPr>
        <w:tcBorders>
          <w:top w:val="double" w:sz="6" w:space="0" w:color="E6EDEF" w:themeColor="accent5"/>
          <w:left w:val="single" w:sz="8" w:space="0" w:color="E6EDEF" w:themeColor="accent5"/>
          <w:bottom w:val="single" w:sz="8" w:space="0" w:color="E6EDEF" w:themeColor="accent5"/>
          <w:right w:val="single" w:sz="8" w:space="0" w:color="E6EDEF" w:themeColor="accent5"/>
        </w:tcBorders>
      </w:tcPr>
    </w:tblStylePr>
    <w:tblStylePr w:type="firstCol">
      <w:rPr>
        <w:b/>
        <w:bCs/>
      </w:rPr>
    </w:tblStylePr>
    <w:tblStylePr w:type="lastCol">
      <w:rPr>
        <w:b/>
        <w:bCs/>
      </w:rPr>
    </w:tblStylePr>
    <w:tblStylePr w:type="band1Vert">
      <w:tblPr/>
      <w:tcPr>
        <w:tcBorders>
          <w:top w:val="single" w:sz="8" w:space="0" w:color="E6EDEF" w:themeColor="accent5"/>
          <w:left w:val="single" w:sz="8" w:space="0" w:color="E6EDEF" w:themeColor="accent5"/>
          <w:bottom w:val="single" w:sz="8" w:space="0" w:color="E6EDEF" w:themeColor="accent5"/>
          <w:right w:val="single" w:sz="8" w:space="0" w:color="E6EDEF" w:themeColor="accent5"/>
        </w:tcBorders>
      </w:tcPr>
    </w:tblStylePr>
    <w:tblStylePr w:type="band1Horz">
      <w:tblPr/>
      <w:tcPr>
        <w:tcBorders>
          <w:top w:val="single" w:sz="8" w:space="0" w:color="E6EDEF" w:themeColor="accent5"/>
          <w:left w:val="single" w:sz="8" w:space="0" w:color="E6EDEF" w:themeColor="accent5"/>
          <w:bottom w:val="single" w:sz="8" w:space="0" w:color="E6EDEF" w:themeColor="accent5"/>
          <w:right w:val="single" w:sz="8" w:space="0" w:color="E6EDEF" w:themeColor="accent5"/>
        </w:tcBorders>
      </w:tcPr>
    </w:tblStylePr>
  </w:style>
  <w:style w:type="table" w:customStyle="1" w:styleId="TEQSAtables">
    <w:name w:val="TEQSA tables"/>
    <w:basedOn w:val="TableNormal"/>
    <w:uiPriority w:val="99"/>
    <w:rsid w:val="00863877"/>
    <w:pPr>
      <w:spacing w:after="0" w:line="240" w:lineRule="auto"/>
      <w:jc w:val="center"/>
    </w:pPr>
    <w:tblPr>
      <w:tblStyleRowBandSize w:val="1"/>
      <w:tblInd w:w="0" w:type="dxa"/>
      <w:tblBorders>
        <w:top w:val="single" w:sz="4" w:space="0" w:color="004855" w:themeColor="text1"/>
        <w:left w:val="single" w:sz="4" w:space="0" w:color="004855" w:themeColor="text1"/>
        <w:bottom w:val="single" w:sz="4" w:space="0" w:color="004855" w:themeColor="text1"/>
        <w:right w:val="single" w:sz="4" w:space="0" w:color="004855" w:themeColor="text1"/>
        <w:insideH w:val="single" w:sz="4" w:space="0" w:color="004855" w:themeColor="text1"/>
        <w:insideV w:val="single" w:sz="4" w:space="0" w:color="004855" w:themeColor="text1"/>
      </w:tblBorders>
      <w:tblCellMar>
        <w:top w:w="0" w:type="dxa"/>
        <w:left w:w="108" w:type="dxa"/>
        <w:bottom w:w="0" w:type="dxa"/>
        <w:right w:w="108" w:type="dxa"/>
      </w:tblCellMar>
    </w:tblPr>
    <w:tcPr>
      <w:shd w:val="clear" w:color="auto" w:fill="auto"/>
      <w:tcMar>
        <w:top w:w="57" w:type="dxa"/>
        <w:left w:w="142" w:type="dxa"/>
        <w:bottom w:w="57" w:type="dxa"/>
        <w:right w:w="142" w:type="dxa"/>
      </w:tcMar>
    </w:tcPr>
    <w:tblStylePr w:type="firstRow">
      <w:rPr>
        <w:rFonts w:ascii="Arial" w:hAnsi="Arial"/>
        <w:b/>
        <w:color w:val="FFFFFF" w:themeColor="background2"/>
        <w:sz w:val="22"/>
      </w:rPr>
      <w:tblPr/>
      <w:tcPr>
        <w:tcBorders>
          <w:top w:val="single" w:sz="4" w:space="0" w:color="004855" w:themeColor="text1"/>
          <w:left w:val="single" w:sz="4" w:space="0" w:color="004855" w:themeColor="text1"/>
          <w:bottom w:val="single" w:sz="4" w:space="0" w:color="004855" w:themeColor="text1"/>
          <w:right w:val="single" w:sz="4" w:space="0" w:color="004855" w:themeColor="text1"/>
          <w:insideH w:val="single" w:sz="4" w:space="0" w:color="004855" w:themeColor="text1"/>
          <w:insideV w:val="single" w:sz="4" w:space="0" w:color="004855" w:themeColor="text1"/>
          <w:tl2br w:val="nil"/>
          <w:tr2bl w:val="nil"/>
        </w:tcBorders>
        <w:shd w:val="clear" w:color="auto" w:fill="004855"/>
      </w:tcPr>
    </w:tblStylePr>
    <w:tblStylePr w:type="band2Horz">
      <w:tblPr/>
      <w:tcPr>
        <w:shd w:val="clear" w:color="auto" w:fill="E5F6F6" w:themeFill="accent6" w:themeFillTint="33"/>
      </w:tcPr>
    </w:tblStylePr>
  </w:style>
  <w:style w:type="character" w:customStyle="1" w:styleId="Heading6Char">
    <w:name w:val="Heading 6 Char"/>
    <w:basedOn w:val="DefaultParagraphFont"/>
    <w:link w:val="Heading6"/>
    <w:uiPriority w:val="9"/>
    <w:semiHidden/>
    <w:rsid w:val="00741223"/>
    <w:rPr>
      <w:rFonts w:asciiTheme="majorHAnsi" w:eastAsiaTheme="majorEastAsia" w:hAnsiTheme="majorHAnsi" w:cstheme="majorBidi"/>
      <w:smallCaps/>
      <w:color w:val="7F7F7F" w:themeColor="background2" w:themeShade="7F"/>
      <w:spacing w:val="20"/>
    </w:rPr>
  </w:style>
  <w:style w:type="character" w:customStyle="1" w:styleId="Heading7Char">
    <w:name w:val="Heading 7 Char"/>
    <w:basedOn w:val="DefaultParagraphFont"/>
    <w:link w:val="Heading7"/>
    <w:uiPriority w:val="9"/>
    <w:semiHidden/>
    <w:rsid w:val="00741223"/>
    <w:rPr>
      <w:rFonts w:asciiTheme="majorHAnsi" w:eastAsiaTheme="majorEastAsia" w:hAnsiTheme="majorHAnsi" w:cstheme="majorBidi"/>
      <w:i/>
      <w:iCs/>
      <w:color w:val="00A2BF" w:themeColor="text1" w:themeTint="BF"/>
      <w:sz w:val="21"/>
    </w:rPr>
  </w:style>
  <w:style w:type="character" w:customStyle="1" w:styleId="Heading8Char">
    <w:name w:val="Heading 8 Char"/>
    <w:basedOn w:val="DefaultParagraphFont"/>
    <w:link w:val="Heading8"/>
    <w:uiPriority w:val="9"/>
    <w:semiHidden/>
    <w:rsid w:val="00741223"/>
    <w:rPr>
      <w:rFonts w:asciiTheme="majorHAnsi" w:eastAsiaTheme="majorEastAsia" w:hAnsiTheme="majorHAnsi" w:cstheme="majorBidi"/>
      <w:color w:val="00A2BF" w:themeColor="text1" w:themeTint="BF"/>
      <w:sz w:val="20"/>
      <w:szCs w:val="20"/>
    </w:rPr>
  </w:style>
  <w:style w:type="character" w:customStyle="1" w:styleId="Heading9Char">
    <w:name w:val="Heading 9 Char"/>
    <w:basedOn w:val="DefaultParagraphFont"/>
    <w:link w:val="Heading9"/>
    <w:uiPriority w:val="9"/>
    <w:semiHidden/>
    <w:rsid w:val="00741223"/>
    <w:rPr>
      <w:rFonts w:asciiTheme="majorHAnsi" w:eastAsiaTheme="majorEastAsia" w:hAnsiTheme="majorHAnsi" w:cstheme="majorBidi"/>
      <w:i/>
      <w:iCs/>
      <w:color w:val="00A2BF" w:themeColor="text1" w:themeTint="BF"/>
      <w:sz w:val="20"/>
      <w:szCs w:val="20"/>
    </w:rPr>
  </w:style>
  <w:style w:type="paragraph" w:styleId="Caption">
    <w:name w:val="caption"/>
    <w:basedOn w:val="Normal"/>
    <w:next w:val="Normal"/>
    <w:uiPriority w:val="35"/>
    <w:semiHidden/>
    <w:unhideWhenUsed/>
    <w:qFormat/>
    <w:rsid w:val="00741223"/>
    <w:pPr>
      <w:spacing w:before="0" w:after="200" w:line="240" w:lineRule="auto"/>
    </w:pPr>
    <w:rPr>
      <w:b/>
      <w:bCs/>
      <w:color w:val="004855" w:themeColor="accent1"/>
      <w:sz w:val="18"/>
      <w:szCs w:val="18"/>
    </w:rPr>
  </w:style>
  <w:style w:type="paragraph" w:styleId="Title">
    <w:name w:val="Title"/>
    <w:basedOn w:val="Normal"/>
    <w:next w:val="Normal"/>
    <w:link w:val="TitleChar"/>
    <w:uiPriority w:val="10"/>
    <w:qFormat/>
    <w:rsid w:val="002868AF"/>
    <w:pPr>
      <w:spacing w:line="240" w:lineRule="auto"/>
    </w:pPr>
    <w:rPr>
      <w:rFonts w:asciiTheme="majorHAnsi" w:hAnsiTheme="majorHAnsi"/>
      <w:b/>
      <w:color w:val="004855" w:themeColor="text1"/>
      <w:sz w:val="68"/>
      <w:szCs w:val="68"/>
    </w:rPr>
  </w:style>
  <w:style w:type="character" w:customStyle="1" w:styleId="TitleChar">
    <w:name w:val="Title Char"/>
    <w:basedOn w:val="DefaultParagraphFont"/>
    <w:link w:val="Title"/>
    <w:uiPriority w:val="10"/>
    <w:rsid w:val="002868AF"/>
    <w:rPr>
      <w:rFonts w:asciiTheme="majorHAnsi" w:hAnsiTheme="majorHAnsi"/>
      <w:b/>
      <w:color w:val="004855" w:themeColor="text1"/>
      <w:sz w:val="68"/>
      <w:szCs w:val="68"/>
    </w:rPr>
  </w:style>
  <w:style w:type="paragraph" w:styleId="Subtitle">
    <w:name w:val="Subtitle"/>
    <w:basedOn w:val="Normal"/>
    <w:next w:val="Normal"/>
    <w:link w:val="SubtitleChar"/>
    <w:uiPriority w:val="11"/>
    <w:qFormat/>
    <w:rsid w:val="002868AF"/>
    <w:pPr>
      <w:spacing w:line="240" w:lineRule="auto"/>
    </w:pPr>
    <w:rPr>
      <w:rFonts w:asciiTheme="majorHAnsi" w:hAnsiTheme="majorHAnsi"/>
      <w:color w:val="00A6AA" w:themeColor="background1"/>
      <w:sz w:val="56"/>
      <w:szCs w:val="68"/>
    </w:rPr>
  </w:style>
  <w:style w:type="character" w:customStyle="1" w:styleId="SubtitleChar">
    <w:name w:val="Subtitle Char"/>
    <w:basedOn w:val="DefaultParagraphFont"/>
    <w:link w:val="Subtitle"/>
    <w:uiPriority w:val="11"/>
    <w:rsid w:val="002868AF"/>
    <w:rPr>
      <w:rFonts w:asciiTheme="majorHAnsi" w:hAnsiTheme="majorHAnsi"/>
      <w:color w:val="00A6AA" w:themeColor="background1"/>
      <w:sz w:val="56"/>
      <w:szCs w:val="68"/>
    </w:rPr>
  </w:style>
  <w:style w:type="character" w:styleId="Strong">
    <w:name w:val="Strong"/>
    <w:uiPriority w:val="22"/>
    <w:rsid w:val="00741223"/>
    <w:rPr>
      <w:b/>
      <w:bCs/>
      <w:spacing w:val="0"/>
    </w:rPr>
  </w:style>
  <w:style w:type="character" w:styleId="Emphasis">
    <w:name w:val="Emphasis"/>
    <w:uiPriority w:val="20"/>
    <w:qFormat/>
    <w:rsid w:val="00741223"/>
    <w:rPr>
      <w:b/>
      <w:bCs/>
      <w:smallCaps/>
      <w:dstrike w:val="0"/>
      <w:color w:val="00C7EB" w:themeColor="text1" w:themeTint="A5"/>
      <w:spacing w:val="20"/>
      <w:kern w:val="0"/>
      <w:vertAlign w:val="baseline"/>
    </w:rPr>
  </w:style>
  <w:style w:type="paragraph" w:styleId="NoSpacing">
    <w:name w:val="No Spacing"/>
    <w:basedOn w:val="Normal"/>
    <w:link w:val="NoSpacingChar"/>
    <w:uiPriority w:val="1"/>
    <w:qFormat/>
    <w:rsid w:val="00741223"/>
    <w:pPr>
      <w:spacing w:after="0" w:line="240" w:lineRule="auto"/>
    </w:pPr>
  </w:style>
  <w:style w:type="paragraph" w:styleId="Quote">
    <w:name w:val="Quote"/>
    <w:basedOn w:val="Normal"/>
    <w:next w:val="Normal"/>
    <w:link w:val="QuoteChar"/>
    <w:uiPriority w:val="29"/>
    <w:rsid w:val="00741223"/>
    <w:rPr>
      <w:i/>
      <w:iCs/>
    </w:rPr>
  </w:style>
  <w:style w:type="character" w:customStyle="1" w:styleId="QuoteChar">
    <w:name w:val="Quote Char"/>
    <w:basedOn w:val="DefaultParagraphFont"/>
    <w:link w:val="Quote"/>
    <w:uiPriority w:val="29"/>
    <w:rsid w:val="00741223"/>
    <w:rPr>
      <w:i/>
      <w:iCs/>
      <w:color w:val="00C7EB" w:themeColor="text1" w:themeTint="A5"/>
    </w:rPr>
  </w:style>
  <w:style w:type="paragraph" w:styleId="IntenseQuote">
    <w:name w:val="Intense Quote"/>
    <w:basedOn w:val="Normal"/>
    <w:next w:val="Normal"/>
    <w:link w:val="IntenseQuoteChar"/>
    <w:uiPriority w:val="30"/>
    <w:rsid w:val="00741223"/>
    <w:pPr>
      <w:pBdr>
        <w:top w:val="single" w:sz="4" w:space="12" w:color="00A2BF" w:themeColor="accent1" w:themeTint="BF"/>
        <w:left w:val="single" w:sz="4" w:space="15" w:color="00A2BF" w:themeColor="accent1" w:themeTint="BF"/>
        <w:bottom w:val="single" w:sz="12" w:space="10" w:color="00353F" w:themeColor="accent1" w:themeShade="BF"/>
        <w:right w:val="single" w:sz="12" w:space="15" w:color="00353F" w:themeColor="accent1" w:themeShade="BF"/>
        <w:between w:val="single" w:sz="4" w:space="12" w:color="00A2BF" w:themeColor="accent1" w:themeTint="BF"/>
        <w:bar w:val="single" w:sz="4" w:color="00A2BF" w:themeColor="accent1" w:themeTint="BF"/>
      </w:pBdr>
      <w:spacing w:line="300" w:lineRule="auto"/>
      <w:ind w:left="2506" w:right="432"/>
    </w:pPr>
    <w:rPr>
      <w:rFonts w:asciiTheme="majorHAnsi" w:eastAsiaTheme="majorEastAsia" w:hAnsiTheme="majorHAnsi" w:cstheme="majorBidi"/>
      <w:smallCaps/>
      <w:color w:val="00353F" w:themeColor="accent1" w:themeShade="BF"/>
    </w:rPr>
  </w:style>
  <w:style w:type="character" w:customStyle="1" w:styleId="IntenseQuoteChar">
    <w:name w:val="Intense Quote Char"/>
    <w:basedOn w:val="DefaultParagraphFont"/>
    <w:link w:val="IntenseQuote"/>
    <w:uiPriority w:val="30"/>
    <w:rsid w:val="00741223"/>
    <w:rPr>
      <w:rFonts w:asciiTheme="majorHAnsi" w:eastAsiaTheme="majorEastAsia" w:hAnsiTheme="majorHAnsi" w:cstheme="majorBidi"/>
      <w:smallCaps/>
      <w:color w:val="00353F" w:themeColor="accent1" w:themeShade="BF"/>
    </w:rPr>
  </w:style>
  <w:style w:type="character" w:styleId="SubtleEmphasis">
    <w:name w:val="Subtle Emphasis"/>
    <w:uiPriority w:val="19"/>
    <w:rsid w:val="00741223"/>
    <w:rPr>
      <w:smallCaps/>
      <w:dstrike w:val="0"/>
      <w:color w:val="00C7EB" w:themeColor="text1" w:themeTint="A5"/>
      <w:vertAlign w:val="baseline"/>
    </w:rPr>
  </w:style>
  <w:style w:type="character" w:styleId="IntenseEmphasis">
    <w:name w:val="Intense Emphasis"/>
    <w:uiPriority w:val="21"/>
    <w:rsid w:val="00741223"/>
    <w:rPr>
      <w:b/>
      <w:bCs/>
      <w:smallCaps/>
      <w:color w:val="004855" w:themeColor="accent1"/>
      <w:spacing w:val="40"/>
    </w:rPr>
  </w:style>
  <w:style w:type="character" w:styleId="SubtleReference">
    <w:name w:val="Subtle Reference"/>
    <w:uiPriority w:val="31"/>
    <w:rsid w:val="00741223"/>
    <w:rPr>
      <w:rFonts w:asciiTheme="majorHAnsi" w:eastAsiaTheme="majorEastAsia" w:hAnsiTheme="majorHAnsi" w:cstheme="majorBidi"/>
      <w:i/>
      <w:iCs/>
      <w:smallCaps/>
      <w:color w:val="00C7EB" w:themeColor="text1" w:themeTint="A5"/>
      <w:spacing w:val="20"/>
    </w:rPr>
  </w:style>
  <w:style w:type="character" w:styleId="IntenseReference">
    <w:name w:val="Intense Reference"/>
    <w:uiPriority w:val="32"/>
    <w:rsid w:val="00741223"/>
    <w:rPr>
      <w:rFonts w:asciiTheme="majorHAnsi" w:eastAsiaTheme="majorEastAsia" w:hAnsiTheme="majorHAnsi" w:cstheme="majorBidi"/>
      <w:b/>
      <w:bCs/>
      <w:i/>
      <w:iCs/>
      <w:smallCaps/>
      <w:color w:val="A6A518" w:themeColor="text2" w:themeShade="BF"/>
      <w:spacing w:val="20"/>
    </w:rPr>
  </w:style>
  <w:style w:type="character" w:styleId="BookTitle">
    <w:name w:val="Book Title"/>
    <w:uiPriority w:val="33"/>
    <w:rsid w:val="00741223"/>
    <w:rPr>
      <w:rFonts w:asciiTheme="majorHAnsi" w:eastAsiaTheme="majorEastAsia" w:hAnsiTheme="majorHAnsi" w:cstheme="majorBidi"/>
      <w:b/>
      <w:bCs/>
      <w:smallCaps/>
      <w:color w:val="A6A518" w:themeColor="text2" w:themeShade="BF"/>
      <w:spacing w:val="10"/>
      <w:u w:val="single"/>
    </w:rPr>
  </w:style>
  <w:style w:type="paragraph" w:styleId="TOCHeading">
    <w:name w:val="TOC Heading"/>
    <w:basedOn w:val="Heading1"/>
    <w:next w:val="Normal"/>
    <w:uiPriority w:val="39"/>
    <w:semiHidden/>
    <w:unhideWhenUsed/>
    <w:qFormat/>
    <w:rsid w:val="00741223"/>
    <w:pPr>
      <w:spacing w:before="480" w:after="0" w:line="280" w:lineRule="exact"/>
      <w:outlineLvl w:val="9"/>
    </w:pPr>
    <w:rPr>
      <w:rFonts w:asciiTheme="majorHAnsi" w:hAnsiTheme="majorHAnsi"/>
      <w:color w:val="00353F" w:themeColor="accent1" w:themeShade="BF"/>
      <w:sz w:val="28"/>
    </w:rPr>
  </w:style>
  <w:style w:type="paragraph" w:customStyle="1" w:styleId="TableHeadings">
    <w:name w:val="Table Headings"/>
    <w:basedOn w:val="Normal"/>
    <w:link w:val="TableHeadingsChar"/>
    <w:qFormat/>
    <w:rsid w:val="00B920EB"/>
    <w:pPr>
      <w:jc w:val="center"/>
    </w:pPr>
    <w:rPr>
      <w:b/>
      <w:color w:val="FFFFFF" w:themeColor="background2"/>
    </w:rPr>
  </w:style>
  <w:style w:type="paragraph" w:customStyle="1" w:styleId="Numberedtext">
    <w:name w:val="Numbered text"/>
    <w:basedOn w:val="ListParagraph"/>
    <w:link w:val="NumberedtextChar"/>
    <w:qFormat/>
    <w:rsid w:val="00B920EB"/>
    <w:pPr>
      <w:numPr>
        <w:numId w:val="12"/>
      </w:numPr>
      <w:ind w:left="425" w:hanging="425"/>
      <w:contextualSpacing w:val="0"/>
    </w:pPr>
    <w:rPr>
      <w:lang w:val="en-US"/>
    </w:rPr>
  </w:style>
  <w:style w:type="character" w:customStyle="1" w:styleId="TableHeadingsChar">
    <w:name w:val="Table Headings Char"/>
    <w:basedOn w:val="DefaultParagraphFont"/>
    <w:link w:val="TableHeadings"/>
    <w:rsid w:val="00B920EB"/>
    <w:rPr>
      <w:rFonts w:ascii="Arial" w:hAnsi="Arial"/>
      <w:b/>
      <w:color w:val="FFFFFF" w:themeColor="background2"/>
      <w:sz w:val="21"/>
    </w:rPr>
  </w:style>
  <w:style w:type="paragraph" w:customStyle="1" w:styleId="NumberedtextL2">
    <w:name w:val="Numbered text L2"/>
    <w:basedOn w:val="Numberedtext"/>
    <w:link w:val="NumberedtextL2Char"/>
    <w:qFormat/>
    <w:rsid w:val="00B920EB"/>
    <w:pPr>
      <w:numPr>
        <w:numId w:val="13"/>
      </w:numPr>
      <w:ind w:left="851" w:hanging="425"/>
    </w:pPr>
  </w:style>
  <w:style w:type="character" w:customStyle="1" w:styleId="NumberedtextChar">
    <w:name w:val="Numbered text Char"/>
    <w:basedOn w:val="ListParagraphChar"/>
    <w:link w:val="Numberedtext"/>
    <w:rsid w:val="00B920EB"/>
    <w:rPr>
      <w:rFonts w:ascii="Arial" w:hAnsi="Arial"/>
      <w:color w:val="00C7EB" w:themeColor="text1" w:themeTint="A5"/>
      <w:sz w:val="21"/>
      <w:lang w:val="en-US"/>
    </w:rPr>
  </w:style>
  <w:style w:type="character" w:customStyle="1" w:styleId="NumberedtextL2Char">
    <w:name w:val="Numbered text L2 Char"/>
    <w:basedOn w:val="NumberedtextChar"/>
    <w:link w:val="NumberedtextL2"/>
    <w:rsid w:val="00B920EB"/>
    <w:rPr>
      <w:rFonts w:ascii="Arial" w:hAnsi="Arial"/>
      <w:color w:val="00C7EB" w:themeColor="text1" w:themeTint="A5"/>
      <w:sz w:val="21"/>
      <w:lang w:val="en-US"/>
    </w:rPr>
  </w:style>
  <w:style w:type="character" w:customStyle="1" w:styleId="NoSpacingChar">
    <w:name w:val="No Spacing Char"/>
    <w:basedOn w:val="DefaultParagraphFont"/>
    <w:link w:val="NoSpacing"/>
    <w:uiPriority w:val="1"/>
    <w:rsid w:val="00D8208C"/>
    <w:rPr>
      <w:rFonts w:ascii="Arial" w:hAnsi="Arial"/>
      <w:sz w:val="21"/>
    </w:rPr>
  </w:style>
  <w:style w:type="character" w:styleId="Hyperlink">
    <w:name w:val="Hyperlink"/>
    <w:basedOn w:val="DefaultParagraphFont"/>
    <w:uiPriority w:val="99"/>
    <w:unhideWhenUsed/>
    <w:rsid w:val="00FD7C93"/>
    <w:rPr>
      <w:color w:val="00A6AA" w:themeColor="hyperlink"/>
      <w:u w:val="single"/>
    </w:rPr>
  </w:style>
  <w:style w:type="paragraph" w:styleId="TOC1">
    <w:name w:val="toc 1"/>
    <w:basedOn w:val="Heading1"/>
    <w:next w:val="Normal"/>
    <w:autoRedefine/>
    <w:uiPriority w:val="39"/>
    <w:unhideWhenUsed/>
    <w:qFormat/>
    <w:rsid w:val="00882DB4"/>
    <w:pPr>
      <w:tabs>
        <w:tab w:val="right" w:leader="dot" w:pos="9346"/>
      </w:tabs>
      <w:spacing w:before="480" w:after="100" w:line="320" w:lineRule="exact"/>
    </w:pPr>
    <w:rPr>
      <w:noProof/>
      <w:sz w:val="28"/>
      <w:lang w:eastAsia="en-AU"/>
    </w:rPr>
  </w:style>
  <w:style w:type="paragraph" w:styleId="TOC2">
    <w:name w:val="toc 2"/>
    <w:basedOn w:val="Heading2"/>
    <w:next w:val="Normal"/>
    <w:autoRedefine/>
    <w:uiPriority w:val="39"/>
    <w:unhideWhenUsed/>
    <w:qFormat/>
    <w:rsid w:val="00882DB4"/>
    <w:pPr>
      <w:tabs>
        <w:tab w:val="right" w:leader="dot" w:pos="9346"/>
      </w:tabs>
      <w:spacing w:after="100" w:line="280" w:lineRule="exact"/>
    </w:pPr>
    <w:rPr>
      <w:rFonts w:asciiTheme="minorHAnsi" w:hAnsiTheme="minorHAnsi"/>
      <w:sz w:val="24"/>
    </w:rPr>
  </w:style>
  <w:style w:type="paragraph" w:styleId="TOC3">
    <w:name w:val="toc 3"/>
    <w:basedOn w:val="Heading3"/>
    <w:next w:val="Normal"/>
    <w:autoRedefine/>
    <w:uiPriority w:val="39"/>
    <w:unhideWhenUsed/>
    <w:qFormat/>
    <w:rsid w:val="00951B1E"/>
    <w:pPr>
      <w:tabs>
        <w:tab w:val="right" w:leader="dot" w:pos="9346"/>
      </w:tabs>
      <w:spacing w:before="120" w:after="100"/>
    </w:pPr>
    <w:rPr>
      <w:b w:val="0"/>
      <w:noProof/>
      <w:sz w:val="22"/>
      <w:shd w:val="clear" w:color="auto" w:fill="FFFFFF" w:themeFill="background2"/>
      <w:lang w:val="en-US"/>
    </w:rPr>
  </w:style>
  <w:style w:type="paragraph" w:customStyle="1" w:styleId="NameDate">
    <w:name w:val="Name &amp; Date"/>
    <w:basedOn w:val="Normal"/>
    <w:link w:val="NameDateChar"/>
    <w:qFormat/>
    <w:rsid w:val="002868AF"/>
    <w:pPr>
      <w:spacing w:line="276" w:lineRule="auto"/>
    </w:pPr>
    <w:rPr>
      <w:b/>
      <w:color w:val="121A1D" w:themeColor="accent5" w:themeShade="1A"/>
      <w:sz w:val="32"/>
    </w:rPr>
  </w:style>
  <w:style w:type="paragraph" w:styleId="FootnoteText">
    <w:name w:val="footnote text"/>
    <w:basedOn w:val="Normal"/>
    <w:link w:val="FootnoteTextChar"/>
    <w:uiPriority w:val="99"/>
    <w:semiHidden/>
    <w:unhideWhenUsed/>
    <w:rsid w:val="004D427E"/>
    <w:pPr>
      <w:spacing w:before="0" w:after="0" w:line="240" w:lineRule="auto"/>
    </w:pPr>
    <w:rPr>
      <w:sz w:val="20"/>
      <w:szCs w:val="20"/>
    </w:rPr>
  </w:style>
  <w:style w:type="character" w:customStyle="1" w:styleId="NameDateChar">
    <w:name w:val="Name &amp; Date Char"/>
    <w:basedOn w:val="DefaultParagraphFont"/>
    <w:link w:val="NameDate"/>
    <w:rsid w:val="002868AF"/>
    <w:rPr>
      <w:rFonts w:ascii="Arial" w:hAnsi="Arial"/>
      <w:b/>
      <w:color w:val="121A1D" w:themeColor="accent5" w:themeShade="1A"/>
      <w:sz w:val="32"/>
    </w:rPr>
  </w:style>
  <w:style w:type="character" w:customStyle="1" w:styleId="FootnoteTextChar">
    <w:name w:val="Footnote Text Char"/>
    <w:basedOn w:val="DefaultParagraphFont"/>
    <w:link w:val="FootnoteText"/>
    <w:uiPriority w:val="99"/>
    <w:semiHidden/>
    <w:rsid w:val="004D427E"/>
    <w:rPr>
      <w:rFonts w:ascii="Arial" w:hAnsi="Arial"/>
      <w:sz w:val="20"/>
      <w:szCs w:val="20"/>
    </w:rPr>
  </w:style>
  <w:style w:type="character" w:styleId="FootnoteReference">
    <w:name w:val="footnote reference"/>
    <w:basedOn w:val="DefaultParagraphFont"/>
    <w:uiPriority w:val="99"/>
    <w:semiHidden/>
    <w:unhideWhenUsed/>
    <w:rsid w:val="004D427E"/>
    <w:rPr>
      <w:vertAlign w:val="superscript"/>
    </w:rPr>
  </w:style>
  <w:style w:type="paragraph" w:customStyle="1" w:styleId="Footnotes">
    <w:name w:val="Footnotes"/>
    <w:basedOn w:val="FootnoteText"/>
    <w:link w:val="FootnotesChar"/>
    <w:qFormat/>
    <w:rsid w:val="004D427E"/>
    <w:rPr>
      <w:sz w:val="18"/>
    </w:rPr>
  </w:style>
  <w:style w:type="character" w:customStyle="1" w:styleId="FootnotesChar">
    <w:name w:val="Footnotes Char"/>
    <w:basedOn w:val="FootnoteTextChar"/>
    <w:link w:val="Footnotes"/>
    <w:rsid w:val="004D427E"/>
    <w:rPr>
      <w:rFonts w:ascii="Arial" w:hAnsi="Arial"/>
      <w:sz w:val="18"/>
      <w:szCs w:val="20"/>
    </w:rPr>
  </w:style>
  <w:style w:type="table" w:styleId="LightList">
    <w:name w:val="Light List"/>
    <w:basedOn w:val="TableNormal"/>
    <w:uiPriority w:val="61"/>
    <w:rsid w:val="00244838"/>
    <w:pPr>
      <w:spacing w:after="0" w:line="240" w:lineRule="auto"/>
    </w:pPr>
    <w:tblPr>
      <w:tblStyleRowBandSize w:val="1"/>
      <w:tblStyleColBandSize w:val="1"/>
      <w:tblInd w:w="0" w:type="dxa"/>
      <w:tblBorders>
        <w:top w:val="single" w:sz="8" w:space="0" w:color="004855" w:themeColor="text1"/>
        <w:left w:val="single" w:sz="8" w:space="0" w:color="004855" w:themeColor="text1"/>
        <w:bottom w:val="single" w:sz="8" w:space="0" w:color="004855" w:themeColor="text1"/>
        <w:right w:val="single" w:sz="8" w:space="0" w:color="004855" w:themeColor="text1"/>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004855" w:themeFill="text1"/>
      </w:tcPr>
    </w:tblStylePr>
    <w:tblStylePr w:type="lastRow">
      <w:pPr>
        <w:spacing w:before="0" w:after="0" w:line="240" w:lineRule="auto"/>
      </w:pPr>
      <w:rPr>
        <w:b/>
        <w:bCs/>
      </w:rPr>
      <w:tblPr/>
      <w:tcPr>
        <w:tcBorders>
          <w:top w:val="double" w:sz="6" w:space="0" w:color="004855" w:themeColor="text1"/>
          <w:left w:val="single" w:sz="8" w:space="0" w:color="004855" w:themeColor="text1"/>
          <w:bottom w:val="single" w:sz="8" w:space="0" w:color="004855" w:themeColor="text1"/>
          <w:right w:val="single" w:sz="8" w:space="0" w:color="004855" w:themeColor="text1"/>
        </w:tcBorders>
      </w:tcPr>
    </w:tblStylePr>
    <w:tblStylePr w:type="firstCol">
      <w:rPr>
        <w:b/>
        <w:bCs/>
      </w:rPr>
    </w:tblStylePr>
    <w:tblStylePr w:type="lastCol">
      <w:rPr>
        <w:b/>
        <w:bCs/>
      </w:rPr>
    </w:tblStylePr>
    <w:tblStylePr w:type="band1Vert">
      <w:tblPr/>
      <w:tcPr>
        <w:tcBorders>
          <w:top w:val="single" w:sz="8" w:space="0" w:color="004855" w:themeColor="text1"/>
          <w:left w:val="single" w:sz="8" w:space="0" w:color="004855" w:themeColor="text1"/>
          <w:bottom w:val="single" w:sz="8" w:space="0" w:color="004855" w:themeColor="text1"/>
          <w:right w:val="single" w:sz="8" w:space="0" w:color="004855" w:themeColor="text1"/>
        </w:tcBorders>
      </w:tcPr>
    </w:tblStylePr>
    <w:tblStylePr w:type="band1Horz">
      <w:tblPr/>
      <w:tcPr>
        <w:tcBorders>
          <w:top w:val="single" w:sz="8" w:space="0" w:color="004855" w:themeColor="text1"/>
          <w:left w:val="single" w:sz="8" w:space="0" w:color="004855" w:themeColor="text1"/>
          <w:bottom w:val="single" w:sz="8" w:space="0" w:color="004855" w:themeColor="text1"/>
          <w:right w:val="single" w:sz="8" w:space="0" w:color="004855" w:themeColor="text1"/>
        </w:tcBorders>
      </w:tcPr>
    </w:tblStylePr>
  </w:style>
  <w:style w:type="table" w:styleId="LightList-Accent4">
    <w:name w:val="Light List Accent 4"/>
    <w:basedOn w:val="TableNormal"/>
    <w:uiPriority w:val="61"/>
    <w:rsid w:val="00244838"/>
    <w:pPr>
      <w:spacing w:after="0" w:line="240" w:lineRule="auto"/>
    </w:pPr>
    <w:tblPr>
      <w:tblStyleRowBandSize w:val="1"/>
      <w:tblStyleColBandSize w:val="1"/>
      <w:tblInd w:w="0" w:type="dxa"/>
      <w:tblBorders>
        <w:top w:val="single" w:sz="8" w:space="0" w:color="BFD1D4" w:themeColor="accent4"/>
        <w:left w:val="single" w:sz="8" w:space="0" w:color="BFD1D4" w:themeColor="accent4"/>
        <w:bottom w:val="single" w:sz="8" w:space="0" w:color="BFD1D4" w:themeColor="accent4"/>
        <w:right w:val="single" w:sz="8" w:space="0" w:color="BFD1D4" w:themeColor="accent4"/>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BFD1D4" w:themeFill="accent4"/>
      </w:tcPr>
    </w:tblStylePr>
    <w:tblStylePr w:type="lastRow">
      <w:pPr>
        <w:spacing w:before="0" w:after="0" w:line="240" w:lineRule="auto"/>
      </w:pPr>
      <w:rPr>
        <w:b/>
        <w:bCs/>
      </w:rPr>
      <w:tblPr/>
      <w:tcPr>
        <w:tcBorders>
          <w:top w:val="double" w:sz="6" w:space="0" w:color="BFD1D4" w:themeColor="accent4"/>
          <w:left w:val="single" w:sz="8" w:space="0" w:color="BFD1D4" w:themeColor="accent4"/>
          <w:bottom w:val="single" w:sz="8" w:space="0" w:color="BFD1D4" w:themeColor="accent4"/>
          <w:right w:val="single" w:sz="8" w:space="0" w:color="BFD1D4" w:themeColor="accent4"/>
        </w:tcBorders>
      </w:tcPr>
    </w:tblStylePr>
    <w:tblStylePr w:type="firstCol">
      <w:rPr>
        <w:b/>
        <w:bCs/>
      </w:rPr>
    </w:tblStylePr>
    <w:tblStylePr w:type="lastCol">
      <w:rPr>
        <w:b/>
        <w:bCs/>
      </w:rPr>
    </w:tblStylePr>
    <w:tblStylePr w:type="band1Vert">
      <w:tblPr/>
      <w:tcPr>
        <w:tcBorders>
          <w:top w:val="single" w:sz="8" w:space="0" w:color="BFD1D4" w:themeColor="accent4"/>
          <w:left w:val="single" w:sz="8" w:space="0" w:color="BFD1D4" w:themeColor="accent4"/>
          <w:bottom w:val="single" w:sz="8" w:space="0" w:color="BFD1D4" w:themeColor="accent4"/>
          <w:right w:val="single" w:sz="8" w:space="0" w:color="BFD1D4" w:themeColor="accent4"/>
        </w:tcBorders>
      </w:tcPr>
    </w:tblStylePr>
    <w:tblStylePr w:type="band1Horz">
      <w:tblPr/>
      <w:tcPr>
        <w:tcBorders>
          <w:top w:val="single" w:sz="8" w:space="0" w:color="BFD1D4" w:themeColor="accent4"/>
          <w:left w:val="single" w:sz="8" w:space="0" w:color="BFD1D4" w:themeColor="accent4"/>
          <w:bottom w:val="single" w:sz="8" w:space="0" w:color="BFD1D4" w:themeColor="accent4"/>
          <w:right w:val="single" w:sz="8" w:space="0" w:color="BFD1D4" w:themeColor="accent4"/>
        </w:tcBorders>
      </w:tcPr>
    </w:tblStylePr>
  </w:style>
  <w:style w:type="table" w:styleId="LightList-Accent3">
    <w:name w:val="Light List Accent 3"/>
    <w:basedOn w:val="TableNormal"/>
    <w:uiPriority w:val="61"/>
    <w:rsid w:val="00244838"/>
    <w:pPr>
      <w:spacing w:after="0" w:line="240" w:lineRule="auto"/>
    </w:pPr>
    <w:tblPr>
      <w:tblStyleRowBandSize w:val="1"/>
      <w:tblStyleColBandSize w:val="1"/>
      <w:tblInd w:w="0" w:type="dxa"/>
      <w:tblBorders>
        <w:top w:val="single" w:sz="8" w:space="0" w:color="80A4AB" w:themeColor="accent3"/>
        <w:left w:val="single" w:sz="8" w:space="0" w:color="80A4AB" w:themeColor="accent3"/>
        <w:bottom w:val="single" w:sz="8" w:space="0" w:color="80A4AB" w:themeColor="accent3"/>
        <w:right w:val="single" w:sz="8" w:space="0" w:color="80A4AB" w:themeColor="accent3"/>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80A4AB" w:themeFill="accent3"/>
      </w:tcPr>
    </w:tblStylePr>
    <w:tblStylePr w:type="lastRow">
      <w:pPr>
        <w:spacing w:before="0" w:after="0" w:line="240" w:lineRule="auto"/>
      </w:pPr>
      <w:rPr>
        <w:b/>
        <w:bCs/>
      </w:rPr>
      <w:tblPr/>
      <w:tcPr>
        <w:tcBorders>
          <w:top w:val="double" w:sz="6" w:space="0" w:color="80A4AB" w:themeColor="accent3"/>
          <w:left w:val="single" w:sz="8" w:space="0" w:color="80A4AB" w:themeColor="accent3"/>
          <w:bottom w:val="single" w:sz="8" w:space="0" w:color="80A4AB" w:themeColor="accent3"/>
          <w:right w:val="single" w:sz="8" w:space="0" w:color="80A4AB" w:themeColor="accent3"/>
        </w:tcBorders>
      </w:tcPr>
    </w:tblStylePr>
    <w:tblStylePr w:type="firstCol">
      <w:rPr>
        <w:b/>
        <w:bCs/>
      </w:rPr>
    </w:tblStylePr>
    <w:tblStylePr w:type="lastCol">
      <w:rPr>
        <w:b/>
        <w:bCs/>
      </w:rPr>
    </w:tblStylePr>
    <w:tblStylePr w:type="band1Vert">
      <w:tblPr/>
      <w:tcPr>
        <w:tcBorders>
          <w:top w:val="single" w:sz="8" w:space="0" w:color="80A4AB" w:themeColor="accent3"/>
          <w:left w:val="single" w:sz="8" w:space="0" w:color="80A4AB" w:themeColor="accent3"/>
          <w:bottom w:val="single" w:sz="8" w:space="0" w:color="80A4AB" w:themeColor="accent3"/>
          <w:right w:val="single" w:sz="8" w:space="0" w:color="80A4AB" w:themeColor="accent3"/>
        </w:tcBorders>
      </w:tcPr>
    </w:tblStylePr>
    <w:tblStylePr w:type="band1Horz">
      <w:tblPr/>
      <w:tcPr>
        <w:tcBorders>
          <w:top w:val="single" w:sz="8" w:space="0" w:color="80A4AB" w:themeColor="accent3"/>
          <w:left w:val="single" w:sz="8" w:space="0" w:color="80A4AB" w:themeColor="accent3"/>
          <w:bottom w:val="single" w:sz="8" w:space="0" w:color="80A4AB" w:themeColor="accent3"/>
          <w:right w:val="single" w:sz="8" w:space="0" w:color="80A4AB" w:themeColor="accent3"/>
        </w:tcBorders>
      </w:tcPr>
    </w:tblStylePr>
  </w:style>
  <w:style w:type="table" w:styleId="LightList-Accent2">
    <w:name w:val="Light List Accent 2"/>
    <w:basedOn w:val="TableNormal"/>
    <w:uiPriority w:val="61"/>
    <w:rsid w:val="00244838"/>
    <w:pPr>
      <w:spacing w:after="0" w:line="240" w:lineRule="auto"/>
    </w:pPr>
    <w:tblPr>
      <w:tblStyleRowBandSize w:val="1"/>
      <w:tblStyleColBandSize w:val="1"/>
      <w:tblInd w:w="0" w:type="dxa"/>
      <w:tblBorders>
        <w:top w:val="single" w:sz="8" w:space="0" w:color="407680" w:themeColor="accent2"/>
        <w:left w:val="single" w:sz="8" w:space="0" w:color="407680" w:themeColor="accent2"/>
        <w:bottom w:val="single" w:sz="8" w:space="0" w:color="407680" w:themeColor="accent2"/>
        <w:right w:val="single" w:sz="8" w:space="0" w:color="407680" w:themeColor="accent2"/>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407680" w:themeFill="accent2"/>
      </w:tcPr>
    </w:tblStylePr>
    <w:tblStylePr w:type="lastRow">
      <w:pPr>
        <w:spacing w:before="0" w:after="0" w:line="240" w:lineRule="auto"/>
      </w:pPr>
      <w:rPr>
        <w:b/>
        <w:bCs/>
      </w:rPr>
      <w:tblPr/>
      <w:tcPr>
        <w:tcBorders>
          <w:top w:val="double" w:sz="6" w:space="0" w:color="407680" w:themeColor="accent2"/>
          <w:left w:val="single" w:sz="8" w:space="0" w:color="407680" w:themeColor="accent2"/>
          <w:bottom w:val="single" w:sz="8" w:space="0" w:color="407680" w:themeColor="accent2"/>
          <w:right w:val="single" w:sz="8" w:space="0" w:color="407680" w:themeColor="accent2"/>
        </w:tcBorders>
      </w:tcPr>
    </w:tblStylePr>
    <w:tblStylePr w:type="firstCol">
      <w:rPr>
        <w:b/>
        <w:bCs/>
      </w:rPr>
    </w:tblStylePr>
    <w:tblStylePr w:type="lastCol">
      <w:rPr>
        <w:b/>
        <w:bCs/>
      </w:rPr>
    </w:tblStylePr>
    <w:tblStylePr w:type="band1Vert">
      <w:tblPr/>
      <w:tcPr>
        <w:tcBorders>
          <w:top w:val="single" w:sz="8" w:space="0" w:color="407680" w:themeColor="accent2"/>
          <w:left w:val="single" w:sz="8" w:space="0" w:color="407680" w:themeColor="accent2"/>
          <w:bottom w:val="single" w:sz="8" w:space="0" w:color="407680" w:themeColor="accent2"/>
          <w:right w:val="single" w:sz="8" w:space="0" w:color="407680" w:themeColor="accent2"/>
        </w:tcBorders>
      </w:tcPr>
    </w:tblStylePr>
    <w:tblStylePr w:type="band1Horz">
      <w:tblPr/>
      <w:tcPr>
        <w:tcBorders>
          <w:top w:val="single" w:sz="8" w:space="0" w:color="407680" w:themeColor="accent2"/>
          <w:left w:val="single" w:sz="8" w:space="0" w:color="407680" w:themeColor="accent2"/>
          <w:bottom w:val="single" w:sz="8" w:space="0" w:color="407680" w:themeColor="accent2"/>
          <w:right w:val="single" w:sz="8" w:space="0" w:color="407680" w:themeColor="accent2"/>
        </w:tcBorders>
      </w:tcPr>
    </w:tblStylePr>
  </w:style>
  <w:style w:type="paragraph" w:customStyle="1" w:styleId="Figureheading">
    <w:name w:val="Figure heading"/>
    <w:basedOn w:val="Normal"/>
    <w:link w:val="FigureheadingChar"/>
    <w:qFormat/>
    <w:rsid w:val="00244838"/>
    <w:rPr>
      <w:b/>
      <w:color w:val="004855" w:themeColor="accent1"/>
      <w:szCs w:val="21"/>
      <w:lang w:val="en-US"/>
    </w:rPr>
  </w:style>
  <w:style w:type="character" w:customStyle="1" w:styleId="FigureheadingChar">
    <w:name w:val="Figure heading Char"/>
    <w:basedOn w:val="DefaultParagraphFont"/>
    <w:link w:val="Figureheading"/>
    <w:rsid w:val="00244838"/>
    <w:rPr>
      <w:rFonts w:ascii="Arial" w:hAnsi="Arial"/>
      <w:b/>
      <w:color w:val="004855" w:themeColor="accent1"/>
      <w:sz w:val="21"/>
      <w:szCs w:val="21"/>
      <w:lang w:val="en-US"/>
    </w:rPr>
  </w:style>
  <w:style w:type="paragraph" w:customStyle="1" w:styleId="Footertext">
    <w:name w:val="Footer text"/>
    <w:basedOn w:val="Footer"/>
    <w:link w:val="FootertextChar"/>
    <w:qFormat/>
    <w:rsid w:val="0007382B"/>
    <w:pPr>
      <w:tabs>
        <w:tab w:val="clear" w:pos="4513"/>
        <w:tab w:val="clear" w:pos="9026"/>
        <w:tab w:val="right" w:pos="9356"/>
      </w:tabs>
      <w:jc w:val="right"/>
    </w:pPr>
    <w:rPr>
      <w:color w:val="00A6AA" w:themeColor="background1"/>
      <w:sz w:val="18"/>
    </w:rPr>
  </w:style>
  <w:style w:type="character" w:customStyle="1" w:styleId="FootertextChar">
    <w:name w:val="Footer text Char"/>
    <w:basedOn w:val="FooterChar"/>
    <w:link w:val="Footertext"/>
    <w:rsid w:val="0007382B"/>
    <w:rPr>
      <w:rFonts w:ascii="Arial" w:hAnsi="Arial"/>
      <w:color w:val="00A6AA" w:themeColor="background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382B"/>
    <w:pPr>
      <w:spacing w:before="40" w:after="160" w:line="280" w:lineRule="exact"/>
    </w:pPr>
    <w:rPr>
      <w:rFonts w:ascii="Arial" w:hAnsi="Arial"/>
    </w:rPr>
  </w:style>
  <w:style w:type="paragraph" w:styleId="Heading1">
    <w:name w:val="heading 1"/>
    <w:basedOn w:val="Normal"/>
    <w:next w:val="Normal"/>
    <w:link w:val="Heading1Char"/>
    <w:uiPriority w:val="9"/>
    <w:qFormat/>
    <w:rsid w:val="00741223"/>
    <w:pPr>
      <w:keepNext/>
      <w:keepLines/>
      <w:spacing w:before="160" w:after="240" w:line="480" w:lineRule="exact"/>
      <w:outlineLvl w:val="0"/>
    </w:pPr>
    <w:rPr>
      <w:rFonts w:ascii="Georgia" w:eastAsiaTheme="majorEastAsia" w:hAnsi="Georgia" w:cstheme="majorBidi"/>
      <w:b/>
      <w:bCs/>
      <w:color w:val="004855" w:themeColor="text1"/>
      <w:sz w:val="44"/>
      <w:szCs w:val="28"/>
    </w:rPr>
  </w:style>
  <w:style w:type="paragraph" w:styleId="Heading2">
    <w:name w:val="heading 2"/>
    <w:basedOn w:val="Normal"/>
    <w:next w:val="Normal"/>
    <w:link w:val="Heading2Char"/>
    <w:uiPriority w:val="9"/>
    <w:unhideWhenUsed/>
    <w:qFormat/>
    <w:rsid w:val="00C22D73"/>
    <w:pPr>
      <w:keepNext/>
      <w:keepLines/>
      <w:spacing w:before="240" w:after="80" w:line="360" w:lineRule="exact"/>
      <w:outlineLvl w:val="1"/>
    </w:pPr>
    <w:rPr>
      <w:rFonts w:ascii="Georgia" w:eastAsiaTheme="majorEastAsia" w:hAnsi="Georgia" w:cstheme="majorBidi"/>
      <w:b/>
      <w:bCs/>
      <w:color w:val="00A6AA" w:themeColor="background1"/>
      <w:sz w:val="32"/>
      <w:szCs w:val="26"/>
    </w:rPr>
  </w:style>
  <w:style w:type="paragraph" w:styleId="Heading3">
    <w:name w:val="heading 3"/>
    <w:basedOn w:val="Normal"/>
    <w:next w:val="Normal"/>
    <w:link w:val="Heading3Char"/>
    <w:uiPriority w:val="9"/>
    <w:unhideWhenUsed/>
    <w:qFormat/>
    <w:rsid w:val="00494DE1"/>
    <w:pPr>
      <w:keepNext/>
      <w:keepLines/>
      <w:spacing w:before="240" w:after="80" w:line="300" w:lineRule="exact"/>
      <w:outlineLvl w:val="2"/>
    </w:pPr>
    <w:rPr>
      <w:rFonts w:eastAsiaTheme="majorEastAsia" w:cstheme="majorBidi"/>
      <w:b/>
      <w:bCs/>
      <w:color w:val="407680" w:themeColor="accent2"/>
      <w:sz w:val="26"/>
    </w:rPr>
  </w:style>
  <w:style w:type="paragraph" w:styleId="Heading4">
    <w:name w:val="heading 4"/>
    <w:basedOn w:val="Normal"/>
    <w:next w:val="Normal"/>
    <w:link w:val="Heading4Char"/>
    <w:uiPriority w:val="9"/>
    <w:unhideWhenUsed/>
    <w:qFormat/>
    <w:rsid w:val="00741223"/>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741223"/>
    <w:pPr>
      <w:keepNext/>
      <w:keepLines/>
      <w:spacing w:before="200" w:after="0"/>
      <w:outlineLvl w:val="4"/>
    </w:pPr>
    <w:rPr>
      <w:rFonts w:eastAsiaTheme="majorEastAsia" w:cstheme="majorBidi"/>
      <w:i/>
    </w:rPr>
  </w:style>
  <w:style w:type="paragraph" w:styleId="Heading6">
    <w:name w:val="heading 6"/>
    <w:basedOn w:val="Normal"/>
    <w:next w:val="Normal"/>
    <w:link w:val="Heading6Char"/>
    <w:uiPriority w:val="9"/>
    <w:semiHidden/>
    <w:unhideWhenUsed/>
    <w:rsid w:val="00741223"/>
    <w:pPr>
      <w:pBdr>
        <w:bottom w:val="dotted" w:sz="8" w:space="1" w:color="7F7F7F" w:themeColor="background2" w:themeShade="7F"/>
      </w:pBdr>
      <w:spacing w:before="200" w:after="100"/>
      <w:contextualSpacing/>
      <w:outlineLvl w:val="5"/>
    </w:pPr>
    <w:rPr>
      <w:rFonts w:asciiTheme="majorHAnsi" w:eastAsiaTheme="majorEastAsia" w:hAnsiTheme="majorHAnsi" w:cstheme="majorBidi"/>
      <w:smallCaps/>
      <w:color w:val="7F7F7F" w:themeColor="background2" w:themeShade="7F"/>
      <w:spacing w:val="20"/>
    </w:rPr>
  </w:style>
  <w:style w:type="paragraph" w:styleId="Heading7">
    <w:name w:val="heading 7"/>
    <w:basedOn w:val="Normal"/>
    <w:next w:val="Normal"/>
    <w:link w:val="Heading7Char"/>
    <w:uiPriority w:val="9"/>
    <w:semiHidden/>
    <w:unhideWhenUsed/>
    <w:qFormat/>
    <w:rsid w:val="00741223"/>
    <w:pPr>
      <w:keepNext/>
      <w:keepLines/>
      <w:spacing w:before="200" w:after="0"/>
      <w:outlineLvl w:val="6"/>
    </w:pPr>
    <w:rPr>
      <w:rFonts w:asciiTheme="majorHAnsi" w:eastAsiaTheme="majorEastAsia" w:hAnsiTheme="majorHAnsi" w:cstheme="majorBidi"/>
      <w:i/>
      <w:iCs/>
      <w:color w:val="00A2BF" w:themeColor="text1" w:themeTint="BF"/>
    </w:rPr>
  </w:style>
  <w:style w:type="paragraph" w:styleId="Heading8">
    <w:name w:val="heading 8"/>
    <w:basedOn w:val="Normal"/>
    <w:next w:val="Normal"/>
    <w:link w:val="Heading8Char"/>
    <w:uiPriority w:val="9"/>
    <w:semiHidden/>
    <w:unhideWhenUsed/>
    <w:qFormat/>
    <w:rsid w:val="00741223"/>
    <w:pPr>
      <w:keepNext/>
      <w:keepLines/>
      <w:spacing w:before="200" w:after="0"/>
      <w:outlineLvl w:val="7"/>
    </w:pPr>
    <w:rPr>
      <w:rFonts w:asciiTheme="majorHAnsi" w:eastAsiaTheme="majorEastAsia" w:hAnsiTheme="majorHAnsi" w:cstheme="majorBidi"/>
      <w:color w:val="00A2BF" w:themeColor="text1" w:themeTint="BF"/>
      <w:sz w:val="20"/>
      <w:szCs w:val="20"/>
    </w:rPr>
  </w:style>
  <w:style w:type="paragraph" w:styleId="Heading9">
    <w:name w:val="heading 9"/>
    <w:basedOn w:val="Normal"/>
    <w:next w:val="Normal"/>
    <w:link w:val="Heading9Char"/>
    <w:uiPriority w:val="9"/>
    <w:semiHidden/>
    <w:unhideWhenUsed/>
    <w:qFormat/>
    <w:rsid w:val="00741223"/>
    <w:pPr>
      <w:keepNext/>
      <w:keepLines/>
      <w:spacing w:before="200" w:after="0"/>
      <w:outlineLvl w:val="8"/>
    </w:pPr>
    <w:rPr>
      <w:rFonts w:asciiTheme="majorHAnsi" w:eastAsiaTheme="majorEastAsia" w:hAnsiTheme="majorHAnsi" w:cstheme="majorBidi"/>
      <w:i/>
      <w:iCs/>
      <w:color w:val="00A2B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F7"/>
  </w:style>
  <w:style w:type="paragraph" w:styleId="Footer">
    <w:name w:val="footer"/>
    <w:basedOn w:val="Normal"/>
    <w:link w:val="FooterChar"/>
    <w:uiPriority w:val="99"/>
    <w:unhideWhenUsed/>
    <w:rsid w:val="0096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8F7"/>
  </w:style>
  <w:style w:type="paragraph" w:styleId="BalloonText">
    <w:name w:val="Balloon Text"/>
    <w:basedOn w:val="Normal"/>
    <w:link w:val="BalloonTextChar"/>
    <w:uiPriority w:val="99"/>
    <w:semiHidden/>
    <w:unhideWhenUsed/>
    <w:rsid w:val="0096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F7"/>
    <w:rPr>
      <w:rFonts w:ascii="Tahoma" w:hAnsi="Tahoma" w:cs="Tahoma"/>
      <w:sz w:val="16"/>
      <w:szCs w:val="16"/>
    </w:rPr>
  </w:style>
  <w:style w:type="character" w:customStyle="1" w:styleId="Heading1Char">
    <w:name w:val="Heading 1 Char"/>
    <w:basedOn w:val="DefaultParagraphFont"/>
    <w:link w:val="Heading1"/>
    <w:uiPriority w:val="9"/>
    <w:rsid w:val="00741223"/>
    <w:rPr>
      <w:rFonts w:ascii="Georgia" w:eastAsiaTheme="majorEastAsia" w:hAnsi="Georgia" w:cstheme="majorBidi"/>
      <w:b/>
      <w:bCs/>
      <w:color w:val="004855" w:themeColor="text1"/>
      <w:sz w:val="44"/>
      <w:szCs w:val="28"/>
    </w:rPr>
  </w:style>
  <w:style w:type="character" w:customStyle="1" w:styleId="Heading2Char">
    <w:name w:val="Heading 2 Char"/>
    <w:basedOn w:val="DefaultParagraphFont"/>
    <w:link w:val="Heading2"/>
    <w:uiPriority w:val="9"/>
    <w:rsid w:val="00C22D73"/>
    <w:rPr>
      <w:rFonts w:ascii="Georgia" w:eastAsiaTheme="majorEastAsia" w:hAnsi="Georgia" w:cstheme="majorBidi"/>
      <w:b/>
      <w:bCs/>
      <w:color w:val="00A6AA" w:themeColor="background1"/>
      <w:sz w:val="32"/>
      <w:szCs w:val="26"/>
    </w:rPr>
  </w:style>
  <w:style w:type="character" w:customStyle="1" w:styleId="Heading3Char">
    <w:name w:val="Heading 3 Char"/>
    <w:basedOn w:val="DefaultParagraphFont"/>
    <w:link w:val="Heading3"/>
    <w:uiPriority w:val="9"/>
    <w:rsid w:val="00494DE1"/>
    <w:rPr>
      <w:rFonts w:ascii="Arial" w:eastAsiaTheme="majorEastAsia" w:hAnsi="Arial" w:cstheme="majorBidi"/>
      <w:b/>
      <w:bCs/>
      <w:color w:val="407680" w:themeColor="accent2"/>
      <w:sz w:val="26"/>
    </w:rPr>
  </w:style>
  <w:style w:type="paragraph" w:styleId="ListParagraph">
    <w:name w:val="List Paragraph"/>
    <w:basedOn w:val="Normal"/>
    <w:link w:val="ListParagraphChar"/>
    <w:uiPriority w:val="34"/>
    <w:qFormat/>
    <w:rsid w:val="00741223"/>
    <w:pPr>
      <w:ind w:left="720"/>
      <w:contextualSpacing/>
    </w:pPr>
  </w:style>
  <w:style w:type="paragraph" w:customStyle="1" w:styleId="BulletsL1">
    <w:name w:val="Bullets L1"/>
    <w:basedOn w:val="ListParagraph"/>
    <w:link w:val="BulletsL1Char"/>
    <w:qFormat/>
    <w:rsid w:val="00741223"/>
    <w:pPr>
      <w:numPr>
        <w:numId w:val="3"/>
      </w:numPr>
      <w:spacing w:after="120"/>
      <w:contextualSpacing w:val="0"/>
    </w:pPr>
    <w:rPr>
      <w:lang w:val="en-US"/>
    </w:rPr>
  </w:style>
  <w:style w:type="paragraph" w:customStyle="1" w:styleId="BulletsL2">
    <w:name w:val="Bullets L2"/>
    <w:basedOn w:val="BulletsL1"/>
    <w:link w:val="BulletsL2Char"/>
    <w:qFormat/>
    <w:rsid w:val="00741223"/>
    <w:pPr>
      <w:numPr>
        <w:numId w:val="4"/>
      </w:numPr>
      <w:ind w:left="709"/>
    </w:pPr>
  </w:style>
  <w:style w:type="character" w:customStyle="1" w:styleId="ListParagraphChar">
    <w:name w:val="List Paragraph Char"/>
    <w:basedOn w:val="DefaultParagraphFont"/>
    <w:link w:val="ListParagraph"/>
    <w:uiPriority w:val="34"/>
    <w:rsid w:val="00583B43"/>
    <w:rPr>
      <w:color w:val="00C7EB" w:themeColor="text1" w:themeTint="A5"/>
    </w:rPr>
  </w:style>
  <w:style w:type="character" w:customStyle="1" w:styleId="BulletsL1Char">
    <w:name w:val="Bullets L1 Char"/>
    <w:basedOn w:val="ListParagraphChar"/>
    <w:link w:val="BulletsL1"/>
    <w:rsid w:val="00741223"/>
    <w:rPr>
      <w:rFonts w:ascii="Arial" w:hAnsi="Arial"/>
      <w:color w:val="00C7EB" w:themeColor="text1" w:themeTint="A5"/>
      <w:lang w:val="en-US"/>
    </w:rPr>
  </w:style>
  <w:style w:type="character" w:customStyle="1" w:styleId="Heading4Char">
    <w:name w:val="Heading 4 Char"/>
    <w:basedOn w:val="DefaultParagraphFont"/>
    <w:link w:val="Heading4"/>
    <w:uiPriority w:val="9"/>
    <w:rsid w:val="00741223"/>
    <w:rPr>
      <w:rFonts w:ascii="Arial" w:eastAsiaTheme="majorEastAsia" w:hAnsi="Arial" w:cstheme="majorBidi"/>
      <w:b/>
      <w:bCs/>
      <w:iCs/>
      <w:sz w:val="21"/>
    </w:rPr>
  </w:style>
  <w:style w:type="character" w:customStyle="1" w:styleId="BulletsL2Char">
    <w:name w:val="Bullets L2 Char"/>
    <w:basedOn w:val="BulletsL1Char"/>
    <w:link w:val="BulletsL2"/>
    <w:rsid w:val="00741223"/>
    <w:rPr>
      <w:rFonts w:ascii="Arial" w:hAnsi="Arial"/>
      <w:color w:val="00C7EB" w:themeColor="text1" w:themeTint="A5"/>
      <w:sz w:val="21"/>
      <w:lang w:val="en-US"/>
    </w:rPr>
  </w:style>
  <w:style w:type="character" w:customStyle="1" w:styleId="Heading5Char">
    <w:name w:val="Heading 5 Char"/>
    <w:basedOn w:val="DefaultParagraphFont"/>
    <w:link w:val="Heading5"/>
    <w:uiPriority w:val="9"/>
    <w:rsid w:val="00741223"/>
    <w:rPr>
      <w:rFonts w:ascii="Arial" w:eastAsiaTheme="majorEastAsia" w:hAnsi="Arial" w:cstheme="majorBidi"/>
      <w:i/>
      <w:sz w:val="21"/>
    </w:rPr>
  </w:style>
  <w:style w:type="paragraph" w:customStyle="1" w:styleId="BulletsL3">
    <w:name w:val="Bullets L3"/>
    <w:basedOn w:val="ListParagraph"/>
    <w:link w:val="BulletsL3Char"/>
    <w:qFormat/>
    <w:rsid w:val="00741223"/>
    <w:pPr>
      <w:numPr>
        <w:numId w:val="5"/>
      </w:numPr>
      <w:ind w:left="1134" w:hanging="425"/>
    </w:pPr>
  </w:style>
  <w:style w:type="table" w:styleId="TableGrid">
    <w:name w:val="Table Grid"/>
    <w:basedOn w:val="TableNormal"/>
    <w:uiPriority w:val="59"/>
    <w:rsid w:val="003A7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sL3Char">
    <w:name w:val="Bullets L3 Char"/>
    <w:basedOn w:val="ListParagraphChar"/>
    <w:link w:val="BulletsL3"/>
    <w:rsid w:val="00741223"/>
    <w:rPr>
      <w:rFonts w:ascii="Arial" w:hAnsi="Arial"/>
      <w:color w:val="00C7EB" w:themeColor="text1" w:themeTint="A5"/>
      <w:sz w:val="21"/>
    </w:rPr>
  </w:style>
  <w:style w:type="table" w:styleId="LightList-Accent5">
    <w:name w:val="Light List Accent 5"/>
    <w:basedOn w:val="TableNormal"/>
    <w:uiPriority w:val="61"/>
    <w:rsid w:val="003A732B"/>
    <w:pPr>
      <w:spacing w:after="0" w:line="240" w:lineRule="auto"/>
    </w:pPr>
    <w:tblPr>
      <w:tblStyleRowBandSize w:val="1"/>
      <w:tblStyleColBandSize w:val="1"/>
      <w:tblInd w:w="0" w:type="dxa"/>
      <w:tblBorders>
        <w:top w:val="single" w:sz="8" w:space="0" w:color="E6EDEF" w:themeColor="accent5"/>
        <w:left w:val="single" w:sz="8" w:space="0" w:color="E6EDEF" w:themeColor="accent5"/>
        <w:bottom w:val="single" w:sz="8" w:space="0" w:color="E6EDEF" w:themeColor="accent5"/>
        <w:right w:val="single" w:sz="8" w:space="0" w:color="E6EDEF" w:themeColor="accent5"/>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E6EDEF" w:themeFill="accent5"/>
      </w:tcPr>
    </w:tblStylePr>
    <w:tblStylePr w:type="lastRow">
      <w:pPr>
        <w:spacing w:before="0" w:after="0" w:line="240" w:lineRule="auto"/>
      </w:pPr>
      <w:rPr>
        <w:b/>
        <w:bCs/>
      </w:rPr>
      <w:tblPr/>
      <w:tcPr>
        <w:tcBorders>
          <w:top w:val="double" w:sz="6" w:space="0" w:color="E6EDEF" w:themeColor="accent5"/>
          <w:left w:val="single" w:sz="8" w:space="0" w:color="E6EDEF" w:themeColor="accent5"/>
          <w:bottom w:val="single" w:sz="8" w:space="0" w:color="E6EDEF" w:themeColor="accent5"/>
          <w:right w:val="single" w:sz="8" w:space="0" w:color="E6EDEF" w:themeColor="accent5"/>
        </w:tcBorders>
      </w:tcPr>
    </w:tblStylePr>
    <w:tblStylePr w:type="firstCol">
      <w:rPr>
        <w:b/>
        <w:bCs/>
      </w:rPr>
    </w:tblStylePr>
    <w:tblStylePr w:type="lastCol">
      <w:rPr>
        <w:b/>
        <w:bCs/>
      </w:rPr>
    </w:tblStylePr>
    <w:tblStylePr w:type="band1Vert">
      <w:tblPr/>
      <w:tcPr>
        <w:tcBorders>
          <w:top w:val="single" w:sz="8" w:space="0" w:color="E6EDEF" w:themeColor="accent5"/>
          <w:left w:val="single" w:sz="8" w:space="0" w:color="E6EDEF" w:themeColor="accent5"/>
          <w:bottom w:val="single" w:sz="8" w:space="0" w:color="E6EDEF" w:themeColor="accent5"/>
          <w:right w:val="single" w:sz="8" w:space="0" w:color="E6EDEF" w:themeColor="accent5"/>
        </w:tcBorders>
      </w:tcPr>
    </w:tblStylePr>
    <w:tblStylePr w:type="band1Horz">
      <w:tblPr/>
      <w:tcPr>
        <w:tcBorders>
          <w:top w:val="single" w:sz="8" w:space="0" w:color="E6EDEF" w:themeColor="accent5"/>
          <w:left w:val="single" w:sz="8" w:space="0" w:color="E6EDEF" w:themeColor="accent5"/>
          <w:bottom w:val="single" w:sz="8" w:space="0" w:color="E6EDEF" w:themeColor="accent5"/>
          <w:right w:val="single" w:sz="8" w:space="0" w:color="E6EDEF" w:themeColor="accent5"/>
        </w:tcBorders>
      </w:tcPr>
    </w:tblStylePr>
  </w:style>
  <w:style w:type="table" w:customStyle="1" w:styleId="TEQSAtables">
    <w:name w:val="TEQSA tables"/>
    <w:basedOn w:val="TableNormal"/>
    <w:uiPriority w:val="99"/>
    <w:rsid w:val="00863877"/>
    <w:pPr>
      <w:spacing w:after="0" w:line="240" w:lineRule="auto"/>
      <w:jc w:val="center"/>
    </w:pPr>
    <w:tblPr>
      <w:tblStyleRowBandSize w:val="1"/>
      <w:tblInd w:w="0" w:type="dxa"/>
      <w:tblBorders>
        <w:top w:val="single" w:sz="4" w:space="0" w:color="004855" w:themeColor="text1"/>
        <w:left w:val="single" w:sz="4" w:space="0" w:color="004855" w:themeColor="text1"/>
        <w:bottom w:val="single" w:sz="4" w:space="0" w:color="004855" w:themeColor="text1"/>
        <w:right w:val="single" w:sz="4" w:space="0" w:color="004855" w:themeColor="text1"/>
        <w:insideH w:val="single" w:sz="4" w:space="0" w:color="004855" w:themeColor="text1"/>
        <w:insideV w:val="single" w:sz="4" w:space="0" w:color="004855" w:themeColor="text1"/>
      </w:tblBorders>
      <w:tblCellMar>
        <w:top w:w="0" w:type="dxa"/>
        <w:left w:w="108" w:type="dxa"/>
        <w:bottom w:w="0" w:type="dxa"/>
        <w:right w:w="108" w:type="dxa"/>
      </w:tblCellMar>
    </w:tblPr>
    <w:tcPr>
      <w:shd w:val="clear" w:color="auto" w:fill="auto"/>
      <w:tcMar>
        <w:top w:w="57" w:type="dxa"/>
        <w:left w:w="142" w:type="dxa"/>
        <w:bottom w:w="57" w:type="dxa"/>
        <w:right w:w="142" w:type="dxa"/>
      </w:tcMar>
    </w:tcPr>
    <w:tblStylePr w:type="firstRow">
      <w:rPr>
        <w:rFonts w:ascii="Arial" w:hAnsi="Arial"/>
        <w:b/>
        <w:color w:val="FFFFFF" w:themeColor="background2"/>
        <w:sz w:val="22"/>
      </w:rPr>
      <w:tblPr/>
      <w:tcPr>
        <w:tcBorders>
          <w:top w:val="single" w:sz="4" w:space="0" w:color="004855" w:themeColor="text1"/>
          <w:left w:val="single" w:sz="4" w:space="0" w:color="004855" w:themeColor="text1"/>
          <w:bottom w:val="single" w:sz="4" w:space="0" w:color="004855" w:themeColor="text1"/>
          <w:right w:val="single" w:sz="4" w:space="0" w:color="004855" w:themeColor="text1"/>
          <w:insideH w:val="single" w:sz="4" w:space="0" w:color="004855" w:themeColor="text1"/>
          <w:insideV w:val="single" w:sz="4" w:space="0" w:color="004855" w:themeColor="text1"/>
          <w:tl2br w:val="nil"/>
          <w:tr2bl w:val="nil"/>
        </w:tcBorders>
        <w:shd w:val="clear" w:color="auto" w:fill="004855"/>
      </w:tcPr>
    </w:tblStylePr>
    <w:tblStylePr w:type="band2Horz">
      <w:tblPr/>
      <w:tcPr>
        <w:shd w:val="clear" w:color="auto" w:fill="E5F6F6" w:themeFill="accent6" w:themeFillTint="33"/>
      </w:tcPr>
    </w:tblStylePr>
  </w:style>
  <w:style w:type="character" w:customStyle="1" w:styleId="Heading6Char">
    <w:name w:val="Heading 6 Char"/>
    <w:basedOn w:val="DefaultParagraphFont"/>
    <w:link w:val="Heading6"/>
    <w:uiPriority w:val="9"/>
    <w:semiHidden/>
    <w:rsid w:val="00741223"/>
    <w:rPr>
      <w:rFonts w:asciiTheme="majorHAnsi" w:eastAsiaTheme="majorEastAsia" w:hAnsiTheme="majorHAnsi" w:cstheme="majorBidi"/>
      <w:smallCaps/>
      <w:color w:val="7F7F7F" w:themeColor="background2" w:themeShade="7F"/>
      <w:spacing w:val="20"/>
    </w:rPr>
  </w:style>
  <w:style w:type="character" w:customStyle="1" w:styleId="Heading7Char">
    <w:name w:val="Heading 7 Char"/>
    <w:basedOn w:val="DefaultParagraphFont"/>
    <w:link w:val="Heading7"/>
    <w:uiPriority w:val="9"/>
    <w:semiHidden/>
    <w:rsid w:val="00741223"/>
    <w:rPr>
      <w:rFonts w:asciiTheme="majorHAnsi" w:eastAsiaTheme="majorEastAsia" w:hAnsiTheme="majorHAnsi" w:cstheme="majorBidi"/>
      <w:i/>
      <w:iCs/>
      <w:color w:val="00A2BF" w:themeColor="text1" w:themeTint="BF"/>
      <w:sz w:val="21"/>
    </w:rPr>
  </w:style>
  <w:style w:type="character" w:customStyle="1" w:styleId="Heading8Char">
    <w:name w:val="Heading 8 Char"/>
    <w:basedOn w:val="DefaultParagraphFont"/>
    <w:link w:val="Heading8"/>
    <w:uiPriority w:val="9"/>
    <w:semiHidden/>
    <w:rsid w:val="00741223"/>
    <w:rPr>
      <w:rFonts w:asciiTheme="majorHAnsi" w:eastAsiaTheme="majorEastAsia" w:hAnsiTheme="majorHAnsi" w:cstheme="majorBidi"/>
      <w:color w:val="00A2BF" w:themeColor="text1" w:themeTint="BF"/>
      <w:sz w:val="20"/>
      <w:szCs w:val="20"/>
    </w:rPr>
  </w:style>
  <w:style w:type="character" w:customStyle="1" w:styleId="Heading9Char">
    <w:name w:val="Heading 9 Char"/>
    <w:basedOn w:val="DefaultParagraphFont"/>
    <w:link w:val="Heading9"/>
    <w:uiPriority w:val="9"/>
    <w:semiHidden/>
    <w:rsid w:val="00741223"/>
    <w:rPr>
      <w:rFonts w:asciiTheme="majorHAnsi" w:eastAsiaTheme="majorEastAsia" w:hAnsiTheme="majorHAnsi" w:cstheme="majorBidi"/>
      <w:i/>
      <w:iCs/>
      <w:color w:val="00A2BF" w:themeColor="text1" w:themeTint="BF"/>
      <w:sz w:val="20"/>
      <w:szCs w:val="20"/>
    </w:rPr>
  </w:style>
  <w:style w:type="paragraph" w:styleId="Caption">
    <w:name w:val="caption"/>
    <w:basedOn w:val="Normal"/>
    <w:next w:val="Normal"/>
    <w:uiPriority w:val="35"/>
    <w:semiHidden/>
    <w:unhideWhenUsed/>
    <w:qFormat/>
    <w:rsid w:val="00741223"/>
    <w:pPr>
      <w:spacing w:before="0" w:after="200" w:line="240" w:lineRule="auto"/>
    </w:pPr>
    <w:rPr>
      <w:b/>
      <w:bCs/>
      <w:color w:val="004855" w:themeColor="accent1"/>
      <w:sz w:val="18"/>
      <w:szCs w:val="18"/>
    </w:rPr>
  </w:style>
  <w:style w:type="paragraph" w:styleId="Title">
    <w:name w:val="Title"/>
    <w:basedOn w:val="Normal"/>
    <w:next w:val="Normal"/>
    <w:link w:val="TitleChar"/>
    <w:uiPriority w:val="10"/>
    <w:qFormat/>
    <w:rsid w:val="002868AF"/>
    <w:pPr>
      <w:spacing w:line="240" w:lineRule="auto"/>
    </w:pPr>
    <w:rPr>
      <w:rFonts w:asciiTheme="majorHAnsi" w:hAnsiTheme="majorHAnsi"/>
      <w:b/>
      <w:color w:val="004855" w:themeColor="text1"/>
      <w:sz w:val="68"/>
      <w:szCs w:val="68"/>
    </w:rPr>
  </w:style>
  <w:style w:type="character" w:customStyle="1" w:styleId="TitleChar">
    <w:name w:val="Title Char"/>
    <w:basedOn w:val="DefaultParagraphFont"/>
    <w:link w:val="Title"/>
    <w:uiPriority w:val="10"/>
    <w:rsid w:val="002868AF"/>
    <w:rPr>
      <w:rFonts w:asciiTheme="majorHAnsi" w:hAnsiTheme="majorHAnsi"/>
      <w:b/>
      <w:color w:val="004855" w:themeColor="text1"/>
      <w:sz w:val="68"/>
      <w:szCs w:val="68"/>
    </w:rPr>
  </w:style>
  <w:style w:type="paragraph" w:styleId="Subtitle">
    <w:name w:val="Subtitle"/>
    <w:basedOn w:val="Normal"/>
    <w:next w:val="Normal"/>
    <w:link w:val="SubtitleChar"/>
    <w:uiPriority w:val="11"/>
    <w:qFormat/>
    <w:rsid w:val="002868AF"/>
    <w:pPr>
      <w:spacing w:line="240" w:lineRule="auto"/>
    </w:pPr>
    <w:rPr>
      <w:rFonts w:asciiTheme="majorHAnsi" w:hAnsiTheme="majorHAnsi"/>
      <w:color w:val="00A6AA" w:themeColor="background1"/>
      <w:sz w:val="56"/>
      <w:szCs w:val="68"/>
    </w:rPr>
  </w:style>
  <w:style w:type="character" w:customStyle="1" w:styleId="SubtitleChar">
    <w:name w:val="Subtitle Char"/>
    <w:basedOn w:val="DefaultParagraphFont"/>
    <w:link w:val="Subtitle"/>
    <w:uiPriority w:val="11"/>
    <w:rsid w:val="002868AF"/>
    <w:rPr>
      <w:rFonts w:asciiTheme="majorHAnsi" w:hAnsiTheme="majorHAnsi"/>
      <w:color w:val="00A6AA" w:themeColor="background1"/>
      <w:sz w:val="56"/>
      <w:szCs w:val="68"/>
    </w:rPr>
  </w:style>
  <w:style w:type="character" w:styleId="Strong">
    <w:name w:val="Strong"/>
    <w:uiPriority w:val="22"/>
    <w:rsid w:val="00741223"/>
    <w:rPr>
      <w:b/>
      <w:bCs/>
      <w:spacing w:val="0"/>
    </w:rPr>
  </w:style>
  <w:style w:type="character" w:styleId="Emphasis">
    <w:name w:val="Emphasis"/>
    <w:uiPriority w:val="20"/>
    <w:qFormat/>
    <w:rsid w:val="00741223"/>
    <w:rPr>
      <w:b/>
      <w:bCs/>
      <w:smallCaps/>
      <w:dstrike w:val="0"/>
      <w:color w:val="00C7EB" w:themeColor="text1" w:themeTint="A5"/>
      <w:spacing w:val="20"/>
      <w:kern w:val="0"/>
      <w:vertAlign w:val="baseline"/>
    </w:rPr>
  </w:style>
  <w:style w:type="paragraph" w:styleId="NoSpacing">
    <w:name w:val="No Spacing"/>
    <w:basedOn w:val="Normal"/>
    <w:link w:val="NoSpacingChar"/>
    <w:uiPriority w:val="1"/>
    <w:qFormat/>
    <w:rsid w:val="00741223"/>
    <w:pPr>
      <w:spacing w:after="0" w:line="240" w:lineRule="auto"/>
    </w:pPr>
  </w:style>
  <w:style w:type="paragraph" w:styleId="Quote">
    <w:name w:val="Quote"/>
    <w:basedOn w:val="Normal"/>
    <w:next w:val="Normal"/>
    <w:link w:val="QuoteChar"/>
    <w:uiPriority w:val="29"/>
    <w:rsid w:val="00741223"/>
    <w:rPr>
      <w:i/>
      <w:iCs/>
    </w:rPr>
  </w:style>
  <w:style w:type="character" w:customStyle="1" w:styleId="QuoteChar">
    <w:name w:val="Quote Char"/>
    <w:basedOn w:val="DefaultParagraphFont"/>
    <w:link w:val="Quote"/>
    <w:uiPriority w:val="29"/>
    <w:rsid w:val="00741223"/>
    <w:rPr>
      <w:i/>
      <w:iCs/>
      <w:color w:val="00C7EB" w:themeColor="text1" w:themeTint="A5"/>
    </w:rPr>
  </w:style>
  <w:style w:type="paragraph" w:styleId="IntenseQuote">
    <w:name w:val="Intense Quote"/>
    <w:basedOn w:val="Normal"/>
    <w:next w:val="Normal"/>
    <w:link w:val="IntenseQuoteChar"/>
    <w:uiPriority w:val="30"/>
    <w:rsid w:val="00741223"/>
    <w:pPr>
      <w:pBdr>
        <w:top w:val="single" w:sz="4" w:space="12" w:color="00A2BF" w:themeColor="accent1" w:themeTint="BF"/>
        <w:left w:val="single" w:sz="4" w:space="15" w:color="00A2BF" w:themeColor="accent1" w:themeTint="BF"/>
        <w:bottom w:val="single" w:sz="12" w:space="10" w:color="00353F" w:themeColor="accent1" w:themeShade="BF"/>
        <w:right w:val="single" w:sz="12" w:space="15" w:color="00353F" w:themeColor="accent1" w:themeShade="BF"/>
        <w:between w:val="single" w:sz="4" w:space="12" w:color="00A2BF" w:themeColor="accent1" w:themeTint="BF"/>
        <w:bar w:val="single" w:sz="4" w:color="00A2BF" w:themeColor="accent1" w:themeTint="BF"/>
      </w:pBdr>
      <w:spacing w:line="300" w:lineRule="auto"/>
      <w:ind w:left="2506" w:right="432"/>
    </w:pPr>
    <w:rPr>
      <w:rFonts w:asciiTheme="majorHAnsi" w:eastAsiaTheme="majorEastAsia" w:hAnsiTheme="majorHAnsi" w:cstheme="majorBidi"/>
      <w:smallCaps/>
      <w:color w:val="00353F" w:themeColor="accent1" w:themeShade="BF"/>
    </w:rPr>
  </w:style>
  <w:style w:type="character" w:customStyle="1" w:styleId="IntenseQuoteChar">
    <w:name w:val="Intense Quote Char"/>
    <w:basedOn w:val="DefaultParagraphFont"/>
    <w:link w:val="IntenseQuote"/>
    <w:uiPriority w:val="30"/>
    <w:rsid w:val="00741223"/>
    <w:rPr>
      <w:rFonts w:asciiTheme="majorHAnsi" w:eastAsiaTheme="majorEastAsia" w:hAnsiTheme="majorHAnsi" w:cstheme="majorBidi"/>
      <w:smallCaps/>
      <w:color w:val="00353F" w:themeColor="accent1" w:themeShade="BF"/>
    </w:rPr>
  </w:style>
  <w:style w:type="character" w:styleId="SubtleEmphasis">
    <w:name w:val="Subtle Emphasis"/>
    <w:uiPriority w:val="19"/>
    <w:rsid w:val="00741223"/>
    <w:rPr>
      <w:smallCaps/>
      <w:dstrike w:val="0"/>
      <w:color w:val="00C7EB" w:themeColor="text1" w:themeTint="A5"/>
      <w:vertAlign w:val="baseline"/>
    </w:rPr>
  </w:style>
  <w:style w:type="character" w:styleId="IntenseEmphasis">
    <w:name w:val="Intense Emphasis"/>
    <w:uiPriority w:val="21"/>
    <w:rsid w:val="00741223"/>
    <w:rPr>
      <w:b/>
      <w:bCs/>
      <w:smallCaps/>
      <w:color w:val="004855" w:themeColor="accent1"/>
      <w:spacing w:val="40"/>
    </w:rPr>
  </w:style>
  <w:style w:type="character" w:styleId="SubtleReference">
    <w:name w:val="Subtle Reference"/>
    <w:uiPriority w:val="31"/>
    <w:rsid w:val="00741223"/>
    <w:rPr>
      <w:rFonts w:asciiTheme="majorHAnsi" w:eastAsiaTheme="majorEastAsia" w:hAnsiTheme="majorHAnsi" w:cstheme="majorBidi"/>
      <w:i/>
      <w:iCs/>
      <w:smallCaps/>
      <w:color w:val="00C7EB" w:themeColor="text1" w:themeTint="A5"/>
      <w:spacing w:val="20"/>
    </w:rPr>
  </w:style>
  <w:style w:type="character" w:styleId="IntenseReference">
    <w:name w:val="Intense Reference"/>
    <w:uiPriority w:val="32"/>
    <w:rsid w:val="00741223"/>
    <w:rPr>
      <w:rFonts w:asciiTheme="majorHAnsi" w:eastAsiaTheme="majorEastAsia" w:hAnsiTheme="majorHAnsi" w:cstheme="majorBidi"/>
      <w:b/>
      <w:bCs/>
      <w:i/>
      <w:iCs/>
      <w:smallCaps/>
      <w:color w:val="A6A518" w:themeColor="text2" w:themeShade="BF"/>
      <w:spacing w:val="20"/>
    </w:rPr>
  </w:style>
  <w:style w:type="character" w:styleId="BookTitle">
    <w:name w:val="Book Title"/>
    <w:uiPriority w:val="33"/>
    <w:rsid w:val="00741223"/>
    <w:rPr>
      <w:rFonts w:asciiTheme="majorHAnsi" w:eastAsiaTheme="majorEastAsia" w:hAnsiTheme="majorHAnsi" w:cstheme="majorBidi"/>
      <w:b/>
      <w:bCs/>
      <w:smallCaps/>
      <w:color w:val="A6A518" w:themeColor="text2" w:themeShade="BF"/>
      <w:spacing w:val="10"/>
      <w:u w:val="single"/>
    </w:rPr>
  </w:style>
  <w:style w:type="paragraph" w:styleId="TOCHeading">
    <w:name w:val="TOC Heading"/>
    <w:basedOn w:val="Heading1"/>
    <w:next w:val="Normal"/>
    <w:uiPriority w:val="39"/>
    <w:semiHidden/>
    <w:unhideWhenUsed/>
    <w:qFormat/>
    <w:rsid w:val="00741223"/>
    <w:pPr>
      <w:spacing w:before="480" w:after="0" w:line="280" w:lineRule="exact"/>
      <w:outlineLvl w:val="9"/>
    </w:pPr>
    <w:rPr>
      <w:rFonts w:asciiTheme="majorHAnsi" w:hAnsiTheme="majorHAnsi"/>
      <w:color w:val="00353F" w:themeColor="accent1" w:themeShade="BF"/>
      <w:sz w:val="28"/>
    </w:rPr>
  </w:style>
  <w:style w:type="paragraph" w:customStyle="1" w:styleId="TableHeadings">
    <w:name w:val="Table Headings"/>
    <w:basedOn w:val="Normal"/>
    <w:link w:val="TableHeadingsChar"/>
    <w:qFormat/>
    <w:rsid w:val="00B920EB"/>
    <w:pPr>
      <w:jc w:val="center"/>
    </w:pPr>
    <w:rPr>
      <w:b/>
      <w:color w:val="FFFFFF" w:themeColor="background2"/>
    </w:rPr>
  </w:style>
  <w:style w:type="paragraph" w:customStyle="1" w:styleId="Numberedtext">
    <w:name w:val="Numbered text"/>
    <w:basedOn w:val="ListParagraph"/>
    <w:link w:val="NumberedtextChar"/>
    <w:qFormat/>
    <w:rsid w:val="00B920EB"/>
    <w:pPr>
      <w:numPr>
        <w:numId w:val="12"/>
      </w:numPr>
      <w:ind w:left="425" w:hanging="425"/>
      <w:contextualSpacing w:val="0"/>
    </w:pPr>
    <w:rPr>
      <w:lang w:val="en-US"/>
    </w:rPr>
  </w:style>
  <w:style w:type="character" w:customStyle="1" w:styleId="TableHeadingsChar">
    <w:name w:val="Table Headings Char"/>
    <w:basedOn w:val="DefaultParagraphFont"/>
    <w:link w:val="TableHeadings"/>
    <w:rsid w:val="00B920EB"/>
    <w:rPr>
      <w:rFonts w:ascii="Arial" w:hAnsi="Arial"/>
      <w:b/>
      <w:color w:val="FFFFFF" w:themeColor="background2"/>
      <w:sz w:val="21"/>
    </w:rPr>
  </w:style>
  <w:style w:type="paragraph" w:customStyle="1" w:styleId="NumberedtextL2">
    <w:name w:val="Numbered text L2"/>
    <w:basedOn w:val="Numberedtext"/>
    <w:link w:val="NumberedtextL2Char"/>
    <w:qFormat/>
    <w:rsid w:val="00B920EB"/>
    <w:pPr>
      <w:numPr>
        <w:numId w:val="13"/>
      </w:numPr>
      <w:ind w:left="851" w:hanging="425"/>
    </w:pPr>
  </w:style>
  <w:style w:type="character" w:customStyle="1" w:styleId="NumberedtextChar">
    <w:name w:val="Numbered text Char"/>
    <w:basedOn w:val="ListParagraphChar"/>
    <w:link w:val="Numberedtext"/>
    <w:rsid w:val="00B920EB"/>
    <w:rPr>
      <w:rFonts w:ascii="Arial" w:hAnsi="Arial"/>
      <w:color w:val="00C7EB" w:themeColor="text1" w:themeTint="A5"/>
      <w:sz w:val="21"/>
      <w:lang w:val="en-US"/>
    </w:rPr>
  </w:style>
  <w:style w:type="character" w:customStyle="1" w:styleId="NumberedtextL2Char">
    <w:name w:val="Numbered text L2 Char"/>
    <w:basedOn w:val="NumberedtextChar"/>
    <w:link w:val="NumberedtextL2"/>
    <w:rsid w:val="00B920EB"/>
    <w:rPr>
      <w:rFonts w:ascii="Arial" w:hAnsi="Arial"/>
      <w:color w:val="00C7EB" w:themeColor="text1" w:themeTint="A5"/>
      <w:sz w:val="21"/>
      <w:lang w:val="en-US"/>
    </w:rPr>
  </w:style>
  <w:style w:type="character" w:customStyle="1" w:styleId="NoSpacingChar">
    <w:name w:val="No Spacing Char"/>
    <w:basedOn w:val="DefaultParagraphFont"/>
    <w:link w:val="NoSpacing"/>
    <w:uiPriority w:val="1"/>
    <w:rsid w:val="00D8208C"/>
    <w:rPr>
      <w:rFonts w:ascii="Arial" w:hAnsi="Arial"/>
      <w:sz w:val="21"/>
    </w:rPr>
  </w:style>
  <w:style w:type="character" w:styleId="Hyperlink">
    <w:name w:val="Hyperlink"/>
    <w:basedOn w:val="DefaultParagraphFont"/>
    <w:uiPriority w:val="99"/>
    <w:unhideWhenUsed/>
    <w:rsid w:val="00FD7C93"/>
    <w:rPr>
      <w:color w:val="00A6AA" w:themeColor="hyperlink"/>
      <w:u w:val="single"/>
    </w:rPr>
  </w:style>
  <w:style w:type="paragraph" w:styleId="TOC1">
    <w:name w:val="toc 1"/>
    <w:basedOn w:val="Heading1"/>
    <w:next w:val="Normal"/>
    <w:autoRedefine/>
    <w:uiPriority w:val="39"/>
    <w:unhideWhenUsed/>
    <w:qFormat/>
    <w:rsid w:val="00882DB4"/>
    <w:pPr>
      <w:tabs>
        <w:tab w:val="right" w:leader="dot" w:pos="9346"/>
      </w:tabs>
      <w:spacing w:before="480" w:after="100" w:line="320" w:lineRule="exact"/>
    </w:pPr>
    <w:rPr>
      <w:noProof/>
      <w:sz w:val="28"/>
      <w:lang w:eastAsia="en-AU"/>
    </w:rPr>
  </w:style>
  <w:style w:type="paragraph" w:styleId="TOC2">
    <w:name w:val="toc 2"/>
    <w:basedOn w:val="Heading2"/>
    <w:next w:val="Normal"/>
    <w:autoRedefine/>
    <w:uiPriority w:val="39"/>
    <w:unhideWhenUsed/>
    <w:qFormat/>
    <w:rsid w:val="00882DB4"/>
    <w:pPr>
      <w:tabs>
        <w:tab w:val="right" w:leader="dot" w:pos="9346"/>
      </w:tabs>
      <w:spacing w:after="100" w:line="280" w:lineRule="exact"/>
    </w:pPr>
    <w:rPr>
      <w:rFonts w:asciiTheme="minorHAnsi" w:hAnsiTheme="minorHAnsi"/>
      <w:sz w:val="24"/>
    </w:rPr>
  </w:style>
  <w:style w:type="paragraph" w:styleId="TOC3">
    <w:name w:val="toc 3"/>
    <w:basedOn w:val="Heading3"/>
    <w:next w:val="Normal"/>
    <w:autoRedefine/>
    <w:uiPriority w:val="39"/>
    <w:unhideWhenUsed/>
    <w:qFormat/>
    <w:rsid w:val="00951B1E"/>
    <w:pPr>
      <w:tabs>
        <w:tab w:val="right" w:leader="dot" w:pos="9346"/>
      </w:tabs>
      <w:spacing w:before="120" w:after="100"/>
    </w:pPr>
    <w:rPr>
      <w:b w:val="0"/>
      <w:noProof/>
      <w:sz w:val="22"/>
      <w:shd w:val="clear" w:color="auto" w:fill="FFFFFF" w:themeFill="background2"/>
      <w:lang w:val="en-US"/>
    </w:rPr>
  </w:style>
  <w:style w:type="paragraph" w:customStyle="1" w:styleId="NameDate">
    <w:name w:val="Name &amp; Date"/>
    <w:basedOn w:val="Normal"/>
    <w:link w:val="NameDateChar"/>
    <w:qFormat/>
    <w:rsid w:val="002868AF"/>
    <w:pPr>
      <w:spacing w:line="276" w:lineRule="auto"/>
    </w:pPr>
    <w:rPr>
      <w:b/>
      <w:color w:val="121A1D" w:themeColor="accent5" w:themeShade="1A"/>
      <w:sz w:val="32"/>
    </w:rPr>
  </w:style>
  <w:style w:type="paragraph" w:styleId="FootnoteText">
    <w:name w:val="footnote text"/>
    <w:basedOn w:val="Normal"/>
    <w:link w:val="FootnoteTextChar"/>
    <w:uiPriority w:val="99"/>
    <w:semiHidden/>
    <w:unhideWhenUsed/>
    <w:rsid w:val="004D427E"/>
    <w:pPr>
      <w:spacing w:before="0" w:after="0" w:line="240" w:lineRule="auto"/>
    </w:pPr>
    <w:rPr>
      <w:sz w:val="20"/>
      <w:szCs w:val="20"/>
    </w:rPr>
  </w:style>
  <w:style w:type="character" w:customStyle="1" w:styleId="NameDateChar">
    <w:name w:val="Name &amp; Date Char"/>
    <w:basedOn w:val="DefaultParagraphFont"/>
    <w:link w:val="NameDate"/>
    <w:rsid w:val="002868AF"/>
    <w:rPr>
      <w:rFonts w:ascii="Arial" w:hAnsi="Arial"/>
      <w:b/>
      <w:color w:val="121A1D" w:themeColor="accent5" w:themeShade="1A"/>
      <w:sz w:val="32"/>
    </w:rPr>
  </w:style>
  <w:style w:type="character" w:customStyle="1" w:styleId="FootnoteTextChar">
    <w:name w:val="Footnote Text Char"/>
    <w:basedOn w:val="DefaultParagraphFont"/>
    <w:link w:val="FootnoteText"/>
    <w:uiPriority w:val="99"/>
    <w:semiHidden/>
    <w:rsid w:val="004D427E"/>
    <w:rPr>
      <w:rFonts w:ascii="Arial" w:hAnsi="Arial"/>
      <w:sz w:val="20"/>
      <w:szCs w:val="20"/>
    </w:rPr>
  </w:style>
  <w:style w:type="character" w:styleId="FootnoteReference">
    <w:name w:val="footnote reference"/>
    <w:basedOn w:val="DefaultParagraphFont"/>
    <w:uiPriority w:val="99"/>
    <w:semiHidden/>
    <w:unhideWhenUsed/>
    <w:rsid w:val="004D427E"/>
    <w:rPr>
      <w:vertAlign w:val="superscript"/>
    </w:rPr>
  </w:style>
  <w:style w:type="paragraph" w:customStyle="1" w:styleId="Footnotes">
    <w:name w:val="Footnotes"/>
    <w:basedOn w:val="FootnoteText"/>
    <w:link w:val="FootnotesChar"/>
    <w:qFormat/>
    <w:rsid w:val="004D427E"/>
    <w:rPr>
      <w:sz w:val="18"/>
    </w:rPr>
  </w:style>
  <w:style w:type="character" w:customStyle="1" w:styleId="FootnotesChar">
    <w:name w:val="Footnotes Char"/>
    <w:basedOn w:val="FootnoteTextChar"/>
    <w:link w:val="Footnotes"/>
    <w:rsid w:val="004D427E"/>
    <w:rPr>
      <w:rFonts w:ascii="Arial" w:hAnsi="Arial"/>
      <w:sz w:val="18"/>
      <w:szCs w:val="20"/>
    </w:rPr>
  </w:style>
  <w:style w:type="table" w:styleId="LightList">
    <w:name w:val="Light List"/>
    <w:basedOn w:val="TableNormal"/>
    <w:uiPriority w:val="61"/>
    <w:rsid w:val="00244838"/>
    <w:pPr>
      <w:spacing w:after="0" w:line="240" w:lineRule="auto"/>
    </w:pPr>
    <w:tblPr>
      <w:tblStyleRowBandSize w:val="1"/>
      <w:tblStyleColBandSize w:val="1"/>
      <w:tblInd w:w="0" w:type="dxa"/>
      <w:tblBorders>
        <w:top w:val="single" w:sz="8" w:space="0" w:color="004855" w:themeColor="text1"/>
        <w:left w:val="single" w:sz="8" w:space="0" w:color="004855" w:themeColor="text1"/>
        <w:bottom w:val="single" w:sz="8" w:space="0" w:color="004855" w:themeColor="text1"/>
        <w:right w:val="single" w:sz="8" w:space="0" w:color="004855" w:themeColor="text1"/>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004855" w:themeFill="text1"/>
      </w:tcPr>
    </w:tblStylePr>
    <w:tblStylePr w:type="lastRow">
      <w:pPr>
        <w:spacing w:before="0" w:after="0" w:line="240" w:lineRule="auto"/>
      </w:pPr>
      <w:rPr>
        <w:b/>
        <w:bCs/>
      </w:rPr>
      <w:tblPr/>
      <w:tcPr>
        <w:tcBorders>
          <w:top w:val="double" w:sz="6" w:space="0" w:color="004855" w:themeColor="text1"/>
          <w:left w:val="single" w:sz="8" w:space="0" w:color="004855" w:themeColor="text1"/>
          <w:bottom w:val="single" w:sz="8" w:space="0" w:color="004855" w:themeColor="text1"/>
          <w:right w:val="single" w:sz="8" w:space="0" w:color="004855" w:themeColor="text1"/>
        </w:tcBorders>
      </w:tcPr>
    </w:tblStylePr>
    <w:tblStylePr w:type="firstCol">
      <w:rPr>
        <w:b/>
        <w:bCs/>
      </w:rPr>
    </w:tblStylePr>
    <w:tblStylePr w:type="lastCol">
      <w:rPr>
        <w:b/>
        <w:bCs/>
      </w:rPr>
    </w:tblStylePr>
    <w:tblStylePr w:type="band1Vert">
      <w:tblPr/>
      <w:tcPr>
        <w:tcBorders>
          <w:top w:val="single" w:sz="8" w:space="0" w:color="004855" w:themeColor="text1"/>
          <w:left w:val="single" w:sz="8" w:space="0" w:color="004855" w:themeColor="text1"/>
          <w:bottom w:val="single" w:sz="8" w:space="0" w:color="004855" w:themeColor="text1"/>
          <w:right w:val="single" w:sz="8" w:space="0" w:color="004855" w:themeColor="text1"/>
        </w:tcBorders>
      </w:tcPr>
    </w:tblStylePr>
    <w:tblStylePr w:type="band1Horz">
      <w:tblPr/>
      <w:tcPr>
        <w:tcBorders>
          <w:top w:val="single" w:sz="8" w:space="0" w:color="004855" w:themeColor="text1"/>
          <w:left w:val="single" w:sz="8" w:space="0" w:color="004855" w:themeColor="text1"/>
          <w:bottom w:val="single" w:sz="8" w:space="0" w:color="004855" w:themeColor="text1"/>
          <w:right w:val="single" w:sz="8" w:space="0" w:color="004855" w:themeColor="text1"/>
        </w:tcBorders>
      </w:tcPr>
    </w:tblStylePr>
  </w:style>
  <w:style w:type="table" w:styleId="LightList-Accent4">
    <w:name w:val="Light List Accent 4"/>
    <w:basedOn w:val="TableNormal"/>
    <w:uiPriority w:val="61"/>
    <w:rsid w:val="00244838"/>
    <w:pPr>
      <w:spacing w:after="0" w:line="240" w:lineRule="auto"/>
    </w:pPr>
    <w:tblPr>
      <w:tblStyleRowBandSize w:val="1"/>
      <w:tblStyleColBandSize w:val="1"/>
      <w:tblInd w:w="0" w:type="dxa"/>
      <w:tblBorders>
        <w:top w:val="single" w:sz="8" w:space="0" w:color="BFD1D4" w:themeColor="accent4"/>
        <w:left w:val="single" w:sz="8" w:space="0" w:color="BFD1D4" w:themeColor="accent4"/>
        <w:bottom w:val="single" w:sz="8" w:space="0" w:color="BFD1D4" w:themeColor="accent4"/>
        <w:right w:val="single" w:sz="8" w:space="0" w:color="BFD1D4" w:themeColor="accent4"/>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BFD1D4" w:themeFill="accent4"/>
      </w:tcPr>
    </w:tblStylePr>
    <w:tblStylePr w:type="lastRow">
      <w:pPr>
        <w:spacing w:before="0" w:after="0" w:line="240" w:lineRule="auto"/>
      </w:pPr>
      <w:rPr>
        <w:b/>
        <w:bCs/>
      </w:rPr>
      <w:tblPr/>
      <w:tcPr>
        <w:tcBorders>
          <w:top w:val="double" w:sz="6" w:space="0" w:color="BFD1D4" w:themeColor="accent4"/>
          <w:left w:val="single" w:sz="8" w:space="0" w:color="BFD1D4" w:themeColor="accent4"/>
          <w:bottom w:val="single" w:sz="8" w:space="0" w:color="BFD1D4" w:themeColor="accent4"/>
          <w:right w:val="single" w:sz="8" w:space="0" w:color="BFD1D4" w:themeColor="accent4"/>
        </w:tcBorders>
      </w:tcPr>
    </w:tblStylePr>
    <w:tblStylePr w:type="firstCol">
      <w:rPr>
        <w:b/>
        <w:bCs/>
      </w:rPr>
    </w:tblStylePr>
    <w:tblStylePr w:type="lastCol">
      <w:rPr>
        <w:b/>
        <w:bCs/>
      </w:rPr>
    </w:tblStylePr>
    <w:tblStylePr w:type="band1Vert">
      <w:tblPr/>
      <w:tcPr>
        <w:tcBorders>
          <w:top w:val="single" w:sz="8" w:space="0" w:color="BFD1D4" w:themeColor="accent4"/>
          <w:left w:val="single" w:sz="8" w:space="0" w:color="BFD1D4" w:themeColor="accent4"/>
          <w:bottom w:val="single" w:sz="8" w:space="0" w:color="BFD1D4" w:themeColor="accent4"/>
          <w:right w:val="single" w:sz="8" w:space="0" w:color="BFD1D4" w:themeColor="accent4"/>
        </w:tcBorders>
      </w:tcPr>
    </w:tblStylePr>
    <w:tblStylePr w:type="band1Horz">
      <w:tblPr/>
      <w:tcPr>
        <w:tcBorders>
          <w:top w:val="single" w:sz="8" w:space="0" w:color="BFD1D4" w:themeColor="accent4"/>
          <w:left w:val="single" w:sz="8" w:space="0" w:color="BFD1D4" w:themeColor="accent4"/>
          <w:bottom w:val="single" w:sz="8" w:space="0" w:color="BFD1D4" w:themeColor="accent4"/>
          <w:right w:val="single" w:sz="8" w:space="0" w:color="BFD1D4" w:themeColor="accent4"/>
        </w:tcBorders>
      </w:tcPr>
    </w:tblStylePr>
  </w:style>
  <w:style w:type="table" w:styleId="LightList-Accent3">
    <w:name w:val="Light List Accent 3"/>
    <w:basedOn w:val="TableNormal"/>
    <w:uiPriority w:val="61"/>
    <w:rsid w:val="00244838"/>
    <w:pPr>
      <w:spacing w:after="0" w:line="240" w:lineRule="auto"/>
    </w:pPr>
    <w:tblPr>
      <w:tblStyleRowBandSize w:val="1"/>
      <w:tblStyleColBandSize w:val="1"/>
      <w:tblInd w:w="0" w:type="dxa"/>
      <w:tblBorders>
        <w:top w:val="single" w:sz="8" w:space="0" w:color="80A4AB" w:themeColor="accent3"/>
        <w:left w:val="single" w:sz="8" w:space="0" w:color="80A4AB" w:themeColor="accent3"/>
        <w:bottom w:val="single" w:sz="8" w:space="0" w:color="80A4AB" w:themeColor="accent3"/>
        <w:right w:val="single" w:sz="8" w:space="0" w:color="80A4AB" w:themeColor="accent3"/>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80A4AB" w:themeFill="accent3"/>
      </w:tcPr>
    </w:tblStylePr>
    <w:tblStylePr w:type="lastRow">
      <w:pPr>
        <w:spacing w:before="0" w:after="0" w:line="240" w:lineRule="auto"/>
      </w:pPr>
      <w:rPr>
        <w:b/>
        <w:bCs/>
      </w:rPr>
      <w:tblPr/>
      <w:tcPr>
        <w:tcBorders>
          <w:top w:val="double" w:sz="6" w:space="0" w:color="80A4AB" w:themeColor="accent3"/>
          <w:left w:val="single" w:sz="8" w:space="0" w:color="80A4AB" w:themeColor="accent3"/>
          <w:bottom w:val="single" w:sz="8" w:space="0" w:color="80A4AB" w:themeColor="accent3"/>
          <w:right w:val="single" w:sz="8" w:space="0" w:color="80A4AB" w:themeColor="accent3"/>
        </w:tcBorders>
      </w:tcPr>
    </w:tblStylePr>
    <w:tblStylePr w:type="firstCol">
      <w:rPr>
        <w:b/>
        <w:bCs/>
      </w:rPr>
    </w:tblStylePr>
    <w:tblStylePr w:type="lastCol">
      <w:rPr>
        <w:b/>
        <w:bCs/>
      </w:rPr>
    </w:tblStylePr>
    <w:tblStylePr w:type="band1Vert">
      <w:tblPr/>
      <w:tcPr>
        <w:tcBorders>
          <w:top w:val="single" w:sz="8" w:space="0" w:color="80A4AB" w:themeColor="accent3"/>
          <w:left w:val="single" w:sz="8" w:space="0" w:color="80A4AB" w:themeColor="accent3"/>
          <w:bottom w:val="single" w:sz="8" w:space="0" w:color="80A4AB" w:themeColor="accent3"/>
          <w:right w:val="single" w:sz="8" w:space="0" w:color="80A4AB" w:themeColor="accent3"/>
        </w:tcBorders>
      </w:tcPr>
    </w:tblStylePr>
    <w:tblStylePr w:type="band1Horz">
      <w:tblPr/>
      <w:tcPr>
        <w:tcBorders>
          <w:top w:val="single" w:sz="8" w:space="0" w:color="80A4AB" w:themeColor="accent3"/>
          <w:left w:val="single" w:sz="8" w:space="0" w:color="80A4AB" w:themeColor="accent3"/>
          <w:bottom w:val="single" w:sz="8" w:space="0" w:color="80A4AB" w:themeColor="accent3"/>
          <w:right w:val="single" w:sz="8" w:space="0" w:color="80A4AB" w:themeColor="accent3"/>
        </w:tcBorders>
      </w:tcPr>
    </w:tblStylePr>
  </w:style>
  <w:style w:type="table" w:styleId="LightList-Accent2">
    <w:name w:val="Light List Accent 2"/>
    <w:basedOn w:val="TableNormal"/>
    <w:uiPriority w:val="61"/>
    <w:rsid w:val="00244838"/>
    <w:pPr>
      <w:spacing w:after="0" w:line="240" w:lineRule="auto"/>
    </w:pPr>
    <w:tblPr>
      <w:tblStyleRowBandSize w:val="1"/>
      <w:tblStyleColBandSize w:val="1"/>
      <w:tblInd w:w="0" w:type="dxa"/>
      <w:tblBorders>
        <w:top w:val="single" w:sz="8" w:space="0" w:color="407680" w:themeColor="accent2"/>
        <w:left w:val="single" w:sz="8" w:space="0" w:color="407680" w:themeColor="accent2"/>
        <w:bottom w:val="single" w:sz="8" w:space="0" w:color="407680" w:themeColor="accent2"/>
        <w:right w:val="single" w:sz="8" w:space="0" w:color="407680" w:themeColor="accent2"/>
      </w:tblBorders>
      <w:tblCellMar>
        <w:top w:w="0" w:type="dxa"/>
        <w:left w:w="108" w:type="dxa"/>
        <w:bottom w:w="0" w:type="dxa"/>
        <w:right w:w="108" w:type="dxa"/>
      </w:tblCellMar>
    </w:tblPr>
    <w:tblStylePr w:type="firstRow">
      <w:pPr>
        <w:spacing w:before="0" w:after="0" w:line="240" w:lineRule="auto"/>
      </w:pPr>
      <w:rPr>
        <w:b/>
        <w:bCs/>
        <w:color w:val="00A6AA" w:themeColor="background1"/>
      </w:rPr>
      <w:tblPr/>
      <w:tcPr>
        <w:shd w:val="clear" w:color="auto" w:fill="407680" w:themeFill="accent2"/>
      </w:tcPr>
    </w:tblStylePr>
    <w:tblStylePr w:type="lastRow">
      <w:pPr>
        <w:spacing w:before="0" w:after="0" w:line="240" w:lineRule="auto"/>
      </w:pPr>
      <w:rPr>
        <w:b/>
        <w:bCs/>
      </w:rPr>
      <w:tblPr/>
      <w:tcPr>
        <w:tcBorders>
          <w:top w:val="double" w:sz="6" w:space="0" w:color="407680" w:themeColor="accent2"/>
          <w:left w:val="single" w:sz="8" w:space="0" w:color="407680" w:themeColor="accent2"/>
          <w:bottom w:val="single" w:sz="8" w:space="0" w:color="407680" w:themeColor="accent2"/>
          <w:right w:val="single" w:sz="8" w:space="0" w:color="407680" w:themeColor="accent2"/>
        </w:tcBorders>
      </w:tcPr>
    </w:tblStylePr>
    <w:tblStylePr w:type="firstCol">
      <w:rPr>
        <w:b/>
        <w:bCs/>
      </w:rPr>
    </w:tblStylePr>
    <w:tblStylePr w:type="lastCol">
      <w:rPr>
        <w:b/>
        <w:bCs/>
      </w:rPr>
    </w:tblStylePr>
    <w:tblStylePr w:type="band1Vert">
      <w:tblPr/>
      <w:tcPr>
        <w:tcBorders>
          <w:top w:val="single" w:sz="8" w:space="0" w:color="407680" w:themeColor="accent2"/>
          <w:left w:val="single" w:sz="8" w:space="0" w:color="407680" w:themeColor="accent2"/>
          <w:bottom w:val="single" w:sz="8" w:space="0" w:color="407680" w:themeColor="accent2"/>
          <w:right w:val="single" w:sz="8" w:space="0" w:color="407680" w:themeColor="accent2"/>
        </w:tcBorders>
      </w:tcPr>
    </w:tblStylePr>
    <w:tblStylePr w:type="band1Horz">
      <w:tblPr/>
      <w:tcPr>
        <w:tcBorders>
          <w:top w:val="single" w:sz="8" w:space="0" w:color="407680" w:themeColor="accent2"/>
          <w:left w:val="single" w:sz="8" w:space="0" w:color="407680" w:themeColor="accent2"/>
          <w:bottom w:val="single" w:sz="8" w:space="0" w:color="407680" w:themeColor="accent2"/>
          <w:right w:val="single" w:sz="8" w:space="0" w:color="407680" w:themeColor="accent2"/>
        </w:tcBorders>
      </w:tcPr>
    </w:tblStylePr>
  </w:style>
  <w:style w:type="paragraph" w:customStyle="1" w:styleId="Figureheading">
    <w:name w:val="Figure heading"/>
    <w:basedOn w:val="Normal"/>
    <w:link w:val="FigureheadingChar"/>
    <w:qFormat/>
    <w:rsid w:val="00244838"/>
    <w:rPr>
      <w:b/>
      <w:color w:val="004855" w:themeColor="accent1"/>
      <w:szCs w:val="21"/>
      <w:lang w:val="en-US"/>
    </w:rPr>
  </w:style>
  <w:style w:type="character" w:customStyle="1" w:styleId="FigureheadingChar">
    <w:name w:val="Figure heading Char"/>
    <w:basedOn w:val="DefaultParagraphFont"/>
    <w:link w:val="Figureheading"/>
    <w:rsid w:val="00244838"/>
    <w:rPr>
      <w:rFonts w:ascii="Arial" w:hAnsi="Arial"/>
      <w:b/>
      <w:color w:val="004855" w:themeColor="accent1"/>
      <w:sz w:val="21"/>
      <w:szCs w:val="21"/>
      <w:lang w:val="en-US"/>
    </w:rPr>
  </w:style>
  <w:style w:type="paragraph" w:customStyle="1" w:styleId="Footertext">
    <w:name w:val="Footer text"/>
    <w:basedOn w:val="Footer"/>
    <w:link w:val="FootertextChar"/>
    <w:qFormat/>
    <w:rsid w:val="0007382B"/>
    <w:pPr>
      <w:tabs>
        <w:tab w:val="clear" w:pos="4513"/>
        <w:tab w:val="clear" w:pos="9026"/>
        <w:tab w:val="right" w:pos="9356"/>
      </w:tabs>
      <w:jc w:val="right"/>
    </w:pPr>
    <w:rPr>
      <w:color w:val="00A6AA" w:themeColor="background1"/>
      <w:sz w:val="18"/>
    </w:rPr>
  </w:style>
  <w:style w:type="character" w:customStyle="1" w:styleId="FootertextChar">
    <w:name w:val="Footer text Char"/>
    <w:basedOn w:val="FooterChar"/>
    <w:link w:val="Footertext"/>
    <w:rsid w:val="0007382B"/>
    <w:rPr>
      <w:rFonts w:ascii="Arial" w:hAnsi="Arial"/>
      <w:color w:val="00A6AA"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TEQSA">
      <a:dk1>
        <a:srgbClr val="004855"/>
      </a:dk1>
      <a:lt1>
        <a:srgbClr val="00A6AA"/>
      </a:lt1>
      <a:dk2>
        <a:srgbClr val="DEDD21"/>
      </a:dk2>
      <a:lt2>
        <a:srgbClr val="FFFFFF"/>
      </a:lt2>
      <a:accent1>
        <a:srgbClr val="004855"/>
      </a:accent1>
      <a:accent2>
        <a:srgbClr val="407680"/>
      </a:accent2>
      <a:accent3>
        <a:srgbClr val="80A4AB"/>
      </a:accent3>
      <a:accent4>
        <a:srgbClr val="BFD1D4"/>
      </a:accent4>
      <a:accent5>
        <a:srgbClr val="E6EDEF"/>
      </a:accent5>
      <a:accent6>
        <a:srgbClr val="80D3D5"/>
      </a:accent6>
      <a:hlink>
        <a:srgbClr val="00A6AA"/>
      </a:hlink>
      <a:folHlink>
        <a:srgbClr val="00A6AA"/>
      </a:folHlink>
    </a:clrScheme>
    <a:fontScheme name="TEQSA">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875d60f0484055a86bce5164c8fe4a8d">
  <xsd:schema xmlns:xsd="http://www.w3.org/2001/XMLSchema" xmlns:xs="http://www.w3.org/2001/XMLSchema" xmlns:p="http://schemas.microsoft.com/office/2006/metadata/properties" xmlns:ns2="c7dac4e8-3feb-44f4-96ca-b86e7c14d0f6" targetNamespace="http://schemas.microsoft.com/office/2006/metadata/properties" ma:root="true" ma:fieldsID="d8a48cae3a5311c83048b66d4b9ea5a9"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af65e1d6-99aa-4744-bd50-7a2426ec239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20</Value>
    </TaxCatchAll>
    <DocumentOwner xmlns="c7dac4e8-3feb-44f4-96ca-b86e7c14d0f6">
      <UserInfo>
        <DisplayName>McRae, Kahn</DisplayName>
        <AccountId>111</AccountId>
        <AccountType/>
      </UserInfo>
    </DocumentOwner>
    <DatePublished xmlns="c7dac4e8-3feb-44f4-96ca-b86e7c14d0f6">2013-10-21T13:00:00+00:00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aa7da2cf-ff56-4069-9c7d-166c6fa518b3</TermId>
        </TermInfo>
      </Terms>
    </e6aacab2b3734039bc8633068afcfb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7090-9A03-457E-B7E0-5B966503C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DCCF6-167E-4E8E-9B1C-4D1D7070F3B4}">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c7dac4e8-3feb-44f4-96ca-b86e7c14d0f6"/>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BE8E3F5-CA3C-42EC-9CEE-CE0687EFF3DB}">
  <ds:schemaRefs>
    <ds:schemaRef ds:uri="http://schemas.microsoft.com/sharepoint/v3/contenttype/forms"/>
  </ds:schemaRefs>
</ds:datastoreItem>
</file>

<file path=customXml/itemProps4.xml><?xml version="1.0" encoding="utf-8"?>
<ds:datastoreItem xmlns:ds="http://schemas.openxmlformats.org/officeDocument/2006/customXml" ds:itemID="{567B82F9-13B4-4C81-BCB0-39D2A718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Internal Report Template_v2</vt:lpstr>
    </vt:vector>
  </TitlesOfParts>
  <Company>Tertiary Education Quality and Standards Agency</Company>
  <LinksUpToDate>false</LinksUpToDate>
  <CharactersWithSpaces>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Report Template_v2</dc:title>
  <dc:creator>McRae, Kahn</dc:creator>
  <cp:lastModifiedBy>Cole, Elizabeth</cp:lastModifiedBy>
  <cp:revision>53</cp:revision>
  <cp:lastPrinted>2015-12-08T22:11:00Z</cp:lastPrinted>
  <dcterms:created xsi:type="dcterms:W3CDTF">2015-11-26T04:14:00Z</dcterms:created>
  <dcterms:modified xsi:type="dcterms:W3CDTF">2015-12-08T22:11:00Z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QSA Team">
    <vt:lpwstr>21;#Governance and Communications|fdc49943-cd8a-4917-9d79-21dff924416e</vt:lpwstr>
  </property>
  <property fmtid="{D5CDD505-2E9C-101B-9397-08002B2CF9AE}" pid="4" name="TEQSA Group">
    <vt:lpwstr>1;#Corporate Group|a6a3eaf6-b9ee-415f-9615-54bc0c82414a</vt:lpwstr>
  </property>
  <property fmtid="{D5CDD505-2E9C-101B-9397-08002B2CF9AE}" pid="5" name="TEQSA Document Type">
    <vt:lpwstr>10;#Template|06554f50-d12e-4c6d-a595-1a165affd662</vt:lpwstr>
  </property>
  <property fmtid="{D5CDD505-2E9C-101B-9397-08002B2CF9AE}" pid="6" name="TEQSA_x0020_Commissioner_x0020_Category">
    <vt:lpwstr/>
  </property>
  <property fmtid="{D5CDD505-2E9C-101B-9397-08002B2CF9AE}" pid="7" name="TEQSA Commissioner Category">
    <vt:lpwstr/>
  </property>
  <property fmtid="{D5CDD505-2E9C-101B-9397-08002B2CF9AE}" pid="8" name="Team">
    <vt:lpwstr>20;#Comms and International|aa7da2cf-ff56-4069-9c7d-166c6fa518b3</vt:lpwstr>
  </property>
</Properties>
</file>