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9" w:rsidRPr="008E6967" w:rsidRDefault="0093202D" w:rsidP="00A505D5">
      <w:pPr>
        <w:pStyle w:val="Title"/>
        <w:spacing w:line="240" w:lineRule="auto"/>
      </w:pPr>
      <w:r>
        <w:t>Higher Education Provider Roundtable</w:t>
      </w:r>
      <w:r w:rsidR="00FB03DD">
        <w:t>s</w:t>
      </w:r>
      <w:r w:rsidR="00041A9F">
        <w:t xml:space="preserve"> – event report</w:t>
      </w:r>
      <w:r w:rsidR="00924CC5">
        <w:t xml:space="preserve">  </w:t>
      </w:r>
    </w:p>
    <w:p w:rsidR="00FB03DD" w:rsidRDefault="00FB03DD" w:rsidP="00A505D5">
      <w:pPr>
        <w:pStyle w:val="Subtitle"/>
        <w:spacing w:line="240" w:lineRule="auto"/>
      </w:pPr>
      <w:r>
        <w:t>Melbourne – 25 June 2018</w:t>
      </w:r>
    </w:p>
    <w:p w:rsidR="000E6484" w:rsidRPr="008E6967" w:rsidRDefault="00FB03DD" w:rsidP="00A505D5">
      <w:pPr>
        <w:pStyle w:val="Subtitle"/>
        <w:spacing w:line="240" w:lineRule="auto"/>
      </w:pPr>
      <w:r>
        <w:t>Sydney – 6 July 2018</w:t>
      </w:r>
    </w:p>
    <w:p w:rsidR="000E6484" w:rsidRPr="008E6967" w:rsidRDefault="000E6484" w:rsidP="00A505D5"/>
    <w:p w:rsidR="000E6484" w:rsidRPr="008E6967" w:rsidRDefault="000E6484" w:rsidP="00A505D5"/>
    <w:p w:rsidR="000E6484" w:rsidRPr="008E6967" w:rsidRDefault="000E6484" w:rsidP="00A505D5">
      <w:pPr>
        <w:sectPr w:rsidR="000E6484" w:rsidRPr="008E6967" w:rsidSect="000E6484">
          <w:headerReference w:type="first" r:id="rId11"/>
          <w:footerReference w:type="first" r:id="rId12"/>
          <w:pgSz w:w="11906" w:h="16838" w:code="9"/>
          <w:pgMar w:top="3402" w:right="1247" w:bottom="4536" w:left="2325" w:header="567" w:footer="567" w:gutter="0"/>
          <w:cols w:space="708"/>
          <w:titlePg/>
          <w:docGrid w:linePitch="360"/>
        </w:sectPr>
      </w:pPr>
    </w:p>
    <w:p w:rsidR="00AF0899" w:rsidRPr="00A74B34" w:rsidRDefault="00401244" w:rsidP="00A505D5">
      <w:pPr>
        <w:pStyle w:val="Heading3"/>
        <w:spacing w:line="240" w:lineRule="auto"/>
        <w:rPr>
          <w:sz w:val="44"/>
          <w:szCs w:val="26"/>
        </w:rPr>
      </w:pPr>
      <w:r w:rsidRPr="00A74B34">
        <w:rPr>
          <w:sz w:val="44"/>
          <w:szCs w:val="26"/>
        </w:rPr>
        <w:lastRenderedPageBreak/>
        <w:t>Overview</w:t>
      </w:r>
    </w:p>
    <w:p w:rsidR="00FC5740" w:rsidRDefault="00FC5740" w:rsidP="00A505D5">
      <w:r>
        <w:t>The Higher Education Provider Roundtable</w:t>
      </w:r>
      <w:r w:rsidR="00FB03DD">
        <w:t xml:space="preserve">s were </w:t>
      </w:r>
      <w:r>
        <w:t xml:space="preserve">convened as an opportunity for TEQSA to receive feedback directly from </w:t>
      </w:r>
      <w:r w:rsidR="008B0C6C">
        <w:t xml:space="preserve">independent and TAFE higher education </w:t>
      </w:r>
      <w:r>
        <w:t xml:space="preserve">providers about how the agency can improve its performance and its engagement with </w:t>
      </w:r>
      <w:r w:rsidR="008B0C6C">
        <w:t>these provider groups</w:t>
      </w:r>
      <w:r w:rsidR="00BE53E8">
        <w:t xml:space="preserve">.  </w:t>
      </w:r>
    </w:p>
    <w:p w:rsidR="00B4215B" w:rsidRDefault="00B4215B" w:rsidP="00A505D5">
      <w:r>
        <w:t xml:space="preserve">Approximately 60 participants attended the Melbourne event and 80 participants attended the event in Sydney.  </w:t>
      </w:r>
    </w:p>
    <w:p w:rsidR="00A74B34" w:rsidRDefault="00355F76" w:rsidP="00A505D5">
      <w:r>
        <w:t>The roundtable event</w:t>
      </w:r>
      <w:r w:rsidR="00FB03DD">
        <w:t>s</w:t>
      </w:r>
      <w:r>
        <w:t xml:space="preserve"> commenced with </w:t>
      </w:r>
      <w:r w:rsidR="00401244">
        <w:t xml:space="preserve">Anthony McClaran, </w:t>
      </w:r>
      <w:r w:rsidR="008B0C6C">
        <w:t xml:space="preserve">TEQSA </w:t>
      </w:r>
      <w:r w:rsidR="00401244">
        <w:t>Chief Executive Officer, provid</w:t>
      </w:r>
      <w:r w:rsidR="008B0C6C">
        <w:t>ing</w:t>
      </w:r>
      <w:r w:rsidR="00401244">
        <w:t xml:space="preserve"> an update on </w:t>
      </w:r>
      <w:r w:rsidR="008B0C6C">
        <w:t xml:space="preserve">the agency’s </w:t>
      </w:r>
      <w:r w:rsidR="00401244">
        <w:t xml:space="preserve">recent performance, changes in budget position and key data from the most recent Stakeholder Survey results submitted by </w:t>
      </w:r>
      <w:r>
        <w:t>independent and TAFE</w:t>
      </w:r>
      <w:r w:rsidR="00401244">
        <w:t xml:space="preserve"> </w:t>
      </w:r>
      <w:r w:rsidR="008B0C6C">
        <w:t xml:space="preserve">higher education </w:t>
      </w:r>
      <w:r w:rsidR="00401244">
        <w:t xml:space="preserve">providers. </w:t>
      </w:r>
    </w:p>
    <w:p w:rsidR="00401244" w:rsidRDefault="00401244" w:rsidP="00A505D5">
      <w:r>
        <w:t xml:space="preserve">Simon Finn, Chief Executive Officer of the Council of Private Higher Education (COPHE), presented some of the key issues identified by COPHE members in relation to TEQSA’s performance, provider interactions and communication with </w:t>
      </w:r>
      <w:r w:rsidR="00355F76">
        <w:t xml:space="preserve">the agency </w:t>
      </w:r>
      <w:r>
        <w:t xml:space="preserve">and experiences in </w:t>
      </w:r>
      <w:r w:rsidR="008B0C6C">
        <w:t>fulfilling TEQSA’s</w:t>
      </w:r>
      <w:r>
        <w:t xml:space="preserve"> Course Accreditation and Risk Assessment processes. </w:t>
      </w:r>
    </w:p>
    <w:p w:rsidR="00401244" w:rsidRDefault="00B4215B" w:rsidP="00A505D5">
      <w:r>
        <w:t xml:space="preserve">Dr Paul Whitelaw and </w:t>
      </w:r>
      <w:r w:rsidR="00924CC5">
        <w:t>Ili Pelletier, o</w:t>
      </w:r>
      <w:r w:rsidR="00401244">
        <w:t xml:space="preserve">n behalf of TAFE Directors Australia (TDA) provided an overview of some of the key characteristics unique to TAFE </w:t>
      </w:r>
      <w:r w:rsidR="00355F76">
        <w:t>h</w:t>
      </w:r>
      <w:r w:rsidR="00401244">
        <w:t xml:space="preserve">igher </w:t>
      </w:r>
      <w:r w:rsidR="00355F76">
        <w:t>e</w:t>
      </w:r>
      <w:r w:rsidR="00401244">
        <w:t>ducation providers</w:t>
      </w:r>
      <w:r w:rsidR="008B0C6C">
        <w:t>,</w:t>
      </w:r>
      <w:r w:rsidR="00401244">
        <w:t xml:space="preserve"> and how </w:t>
      </w:r>
      <w:r w:rsidR="00A74B34">
        <w:t xml:space="preserve">both </w:t>
      </w:r>
      <w:r w:rsidR="00355F76">
        <w:t>TEQSA</w:t>
      </w:r>
      <w:r w:rsidR="00A74B34">
        <w:t xml:space="preserve"> and the sector could better understand these providers</w:t>
      </w:r>
      <w:r w:rsidR="00924CC5">
        <w:t xml:space="preserve"> and support TAFE higher education students</w:t>
      </w:r>
      <w:r w:rsidR="00401244">
        <w:t xml:space="preserve">. </w:t>
      </w:r>
    </w:p>
    <w:p w:rsidR="00FB03DD" w:rsidRDefault="00B4215B" w:rsidP="00A505D5">
      <w:r>
        <w:t xml:space="preserve">At the Sydney event, </w:t>
      </w:r>
      <w:r w:rsidR="00FB03DD">
        <w:t xml:space="preserve">Rod </w:t>
      </w:r>
      <w:proofErr w:type="spellStart"/>
      <w:r w:rsidR="00041A9F">
        <w:t>Camm</w:t>
      </w:r>
      <w:proofErr w:type="spellEnd"/>
      <w:r w:rsidR="00FB03DD">
        <w:t>, Chief Executive Officer of the Australian Council for Private Education and Training (ACPET)</w:t>
      </w:r>
      <w:r w:rsidR="00D37A26">
        <w:t>,</w:t>
      </w:r>
      <w:r w:rsidR="00FB03DD">
        <w:t xml:space="preserve"> discussed some of the challenges faced by ACPET members in their interactions with TEQSA, and</w:t>
      </w:r>
      <w:r w:rsidR="00077BF1">
        <w:t xml:space="preserve"> a</w:t>
      </w:r>
      <w:r w:rsidR="00FB03DD">
        <w:t xml:space="preserve"> vision of how providers and the agency can continue to build a stronger relationship in the future. </w:t>
      </w:r>
    </w:p>
    <w:p w:rsidR="009A236C" w:rsidRDefault="00B4215B" w:rsidP="00A505D5">
      <w:r>
        <w:lastRenderedPageBreak/>
        <w:t xml:space="preserve">Participants </w:t>
      </w:r>
      <w:r w:rsidR="008B0C6C">
        <w:t xml:space="preserve">then </w:t>
      </w:r>
      <w:r>
        <w:t>took part in s</w:t>
      </w:r>
      <w:r w:rsidR="00A74B34">
        <w:t xml:space="preserve">mall </w:t>
      </w:r>
      <w:r w:rsidR="009A236C">
        <w:t>group discussions</w:t>
      </w:r>
      <w:r w:rsidR="008B0C6C" w:rsidRPr="008B0C6C">
        <w:t xml:space="preserve"> </w:t>
      </w:r>
      <w:r w:rsidR="008B0C6C">
        <w:t>facilitated by a rep</w:t>
      </w:r>
      <w:r w:rsidR="00077BF1">
        <w:t>resentative from the sector and</w:t>
      </w:r>
      <w:r w:rsidR="00A74B34">
        <w:t xml:space="preserve"> </w:t>
      </w:r>
      <w:r w:rsidR="00924CC5">
        <w:t>observed by a Commissioner or</w:t>
      </w:r>
      <w:r>
        <w:t xml:space="preserve"> member of</w:t>
      </w:r>
      <w:r w:rsidR="00A74B34">
        <w:t xml:space="preserve"> TEQSA</w:t>
      </w:r>
      <w:r w:rsidR="00355F76">
        <w:t>’s</w:t>
      </w:r>
      <w:r w:rsidR="00A74B34">
        <w:t xml:space="preserve"> Senior</w:t>
      </w:r>
      <w:r w:rsidR="00355F76">
        <w:t xml:space="preserve"> Management Team</w:t>
      </w:r>
      <w:r w:rsidR="00A74B34">
        <w:t xml:space="preserve">. Participants were asked to note the legal framework and Government policy environment </w:t>
      </w:r>
      <w:r w:rsidR="00D37A26">
        <w:t>in which</w:t>
      </w:r>
      <w:r w:rsidR="00041A9F">
        <w:t xml:space="preserve"> TEQSA is required to operate</w:t>
      </w:r>
      <w:r w:rsidR="00355F76">
        <w:t xml:space="preserve">, </w:t>
      </w:r>
      <w:r w:rsidR="00A74B34">
        <w:t xml:space="preserve">and to focus the discussion on the operations of </w:t>
      </w:r>
      <w:r w:rsidR="008B0C6C">
        <w:t xml:space="preserve">the agency </w:t>
      </w:r>
      <w:r w:rsidR="00380E21">
        <w:t xml:space="preserve">and how </w:t>
      </w:r>
      <w:r w:rsidR="008B0C6C">
        <w:t>it</w:t>
      </w:r>
      <w:r w:rsidR="00355F76">
        <w:t xml:space="preserve"> </w:t>
      </w:r>
      <w:r w:rsidR="00380E21">
        <w:t xml:space="preserve">can improve its interaction with </w:t>
      </w:r>
      <w:r w:rsidR="00355F76">
        <w:t xml:space="preserve">independent and TAFE </w:t>
      </w:r>
      <w:r w:rsidR="00380E21">
        <w:t xml:space="preserve">higher education providers. </w:t>
      </w:r>
      <w:r w:rsidR="00A74B34">
        <w:t xml:space="preserve"> </w:t>
      </w:r>
      <w:r w:rsidR="009A236C">
        <w:t xml:space="preserve"> </w:t>
      </w:r>
    </w:p>
    <w:p w:rsidR="001521AD" w:rsidRDefault="00A74B34" w:rsidP="00A505D5">
      <w:r>
        <w:t xml:space="preserve">The main points </w:t>
      </w:r>
      <w:r w:rsidR="00D37A26">
        <w:t>arising</w:t>
      </w:r>
      <w:r>
        <w:t xml:space="preserve"> from each group we</w:t>
      </w:r>
      <w:r w:rsidR="00924CC5">
        <w:t xml:space="preserve">re </w:t>
      </w:r>
      <w:r w:rsidR="008B0C6C">
        <w:t xml:space="preserve">later </w:t>
      </w:r>
      <w:r>
        <w:t xml:space="preserve">presented to all attendees for broader discussion. </w:t>
      </w:r>
      <w:r w:rsidR="001521AD">
        <w:t xml:space="preserve">Common themes, issues and ideas for improvement were identified. </w:t>
      </w:r>
    </w:p>
    <w:p w:rsidR="001521AD" w:rsidRDefault="001521AD" w:rsidP="00A505D5">
      <w:r>
        <w:t>Ove</w:t>
      </w:r>
      <w:r w:rsidR="00924CC5">
        <w:t>rall</w:t>
      </w:r>
      <w:r w:rsidR="008B0C6C">
        <w:t>,</w:t>
      </w:r>
      <w:r w:rsidR="00924CC5">
        <w:t xml:space="preserve"> there is a strong desire from provider</w:t>
      </w:r>
      <w:r w:rsidR="00355F76">
        <w:t>s</w:t>
      </w:r>
      <w:r w:rsidR="00924CC5">
        <w:t xml:space="preserve"> fo</w:t>
      </w:r>
      <w:r>
        <w:t>r TEQSA to act as a quality assurance agency, not just as a regulator, and help to guide providers to achieve excellence</w:t>
      </w:r>
      <w:r w:rsidR="008B0C6C">
        <w:t xml:space="preserve"> in higher education</w:t>
      </w:r>
      <w:r>
        <w:t xml:space="preserve">. </w:t>
      </w:r>
    </w:p>
    <w:p w:rsidR="00920968" w:rsidRDefault="00920968" w:rsidP="00A505D5">
      <w:r>
        <w:br w:type="page"/>
      </w:r>
    </w:p>
    <w:p w:rsidR="009A236C" w:rsidRDefault="00A74B34" w:rsidP="00A505D5">
      <w:pPr>
        <w:pStyle w:val="Heading2"/>
        <w:spacing w:before="0" w:line="240" w:lineRule="auto"/>
      </w:pPr>
      <w:r>
        <w:lastRenderedPageBreak/>
        <w:t>Major themes identified</w:t>
      </w:r>
    </w:p>
    <w:p w:rsidR="00355F76" w:rsidRDefault="0051357B" w:rsidP="00A505D5">
      <w:pPr>
        <w:rPr>
          <w:rFonts w:asciiTheme="majorHAnsi" w:hAnsiTheme="majorHAnsi"/>
          <w:color w:val="00A398"/>
        </w:rPr>
      </w:pPr>
      <w:r>
        <w:rPr>
          <w:rFonts w:asciiTheme="majorHAnsi" w:hAnsiTheme="majorHAnsi"/>
          <w:color w:val="00A398"/>
        </w:rPr>
        <w:t>The following themes were identified as part of the small group discussions and appeared consistent</w:t>
      </w:r>
      <w:r w:rsidR="00355F76">
        <w:rPr>
          <w:rFonts w:asciiTheme="majorHAnsi" w:hAnsiTheme="majorHAnsi"/>
          <w:color w:val="00A398"/>
        </w:rPr>
        <w:t>ly</w:t>
      </w:r>
      <w:r>
        <w:rPr>
          <w:rFonts w:asciiTheme="majorHAnsi" w:hAnsiTheme="majorHAnsi"/>
          <w:color w:val="00A398"/>
        </w:rPr>
        <w:t xml:space="preserve"> across </w:t>
      </w:r>
      <w:r w:rsidR="008B0C6C">
        <w:rPr>
          <w:rFonts w:asciiTheme="majorHAnsi" w:hAnsiTheme="majorHAnsi"/>
          <w:color w:val="00A398"/>
        </w:rPr>
        <w:t>both events</w:t>
      </w:r>
      <w:r>
        <w:rPr>
          <w:rFonts w:asciiTheme="majorHAnsi" w:hAnsiTheme="majorHAnsi"/>
          <w:color w:val="00A398"/>
        </w:rPr>
        <w:t xml:space="preserve">. Additional issues raised are also listed below. </w:t>
      </w:r>
    </w:p>
    <w:p w:rsidR="0051357B" w:rsidRPr="00A74B34" w:rsidRDefault="0051357B" w:rsidP="00A505D5">
      <w:pPr>
        <w:rPr>
          <w:rFonts w:asciiTheme="majorHAnsi" w:hAnsiTheme="majorHAnsi"/>
          <w:color w:val="00A398"/>
        </w:rPr>
      </w:pPr>
      <w:r>
        <w:rPr>
          <w:rFonts w:asciiTheme="majorHAnsi" w:hAnsiTheme="majorHAnsi"/>
          <w:color w:val="00A398"/>
        </w:rPr>
        <w:t xml:space="preserve">Many </w:t>
      </w:r>
      <w:r w:rsidR="00355F76">
        <w:rPr>
          <w:rFonts w:asciiTheme="majorHAnsi" w:hAnsiTheme="majorHAnsi"/>
          <w:color w:val="00A398"/>
        </w:rPr>
        <w:t xml:space="preserve">of the themes identified </w:t>
      </w:r>
      <w:r>
        <w:rPr>
          <w:rFonts w:asciiTheme="majorHAnsi" w:hAnsiTheme="majorHAnsi"/>
          <w:color w:val="00A398"/>
        </w:rPr>
        <w:t xml:space="preserve">were consistent with the views presented by </w:t>
      </w:r>
      <w:r w:rsidR="00355F76">
        <w:rPr>
          <w:rFonts w:asciiTheme="majorHAnsi" w:hAnsiTheme="majorHAnsi"/>
          <w:color w:val="00A398"/>
        </w:rPr>
        <w:t xml:space="preserve">ACPET, </w:t>
      </w:r>
      <w:r>
        <w:rPr>
          <w:rFonts w:asciiTheme="majorHAnsi" w:hAnsiTheme="majorHAnsi"/>
          <w:color w:val="00A398"/>
        </w:rPr>
        <w:t xml:space="preserve">COPHE and TDA in the opening remarks and with the results of </w:t>
      </w:r>
      <w:r w:rsidR="008B0C6C">
        <w:rPr>
          <w:rFonts w:asciiTheme="majorHAnsi" w:hAnsiTheme="majorHAnsi"/>
          <w:color w:val="00A398"/>
        </w:rPr>
        <w:t xml:space="preserve">TEQSA’s 2017 </w:t>
      </w:r>
      <w:r>
        <w:rPr>
          <w:rFonts w:asciiTheme="majorHAnsi" w:hAnsiTheme="majorHAnsi"/>
          <w:color w:val="00A398"/>
        </w:rPr>
        <w:t xml:space="preserve">Stakeholder Survey. </w:t>
      </w:r>
    </w:p>
    <w:p w:rsidR="00B4215B" w:rsidRDefault="00B4215B" w:rsidP="00A505D5">
      <w:pPr>
        <w:pStyle w:val="Heading2"/>
        <w:spacing w:line="240" w:lineRule="auto"/>
      </w:pPr>
      <w:r>
        <w:t>Melbourne</w:t>
      </w:r>
    </w:p>
    <w:p w:rsidR="00B4215B" w:rsidRDefault="00B4215B" w:rsidP="00A505D5">
      <w:pPr>
        <w:pStyle w:val="Heading3"/>
        <w:spacing w:line="240" w:lineRule="auto"/>
      </w:pPr>
      <w:r>
        <w:t>Timeliness of Decision Making</w:t>
      </w:r>
    </w:p>
    <w:p w:rsidR="00B4215B" w:rsidRDefault="00DC41B7" w:rsidP="00A505D5">
      <w:r>
        <w:t>Many p</w:t>
      </w:r>
      <w:r w:rsidR="00B4215B">
        <w:t>articipants expressed concern about the significant time lapse between the submission of applications and a decision by TEQSA, particular</w:t>
      </w:r>
      <w:r>
        <w:t>ly</w:t>
      </w:r>
      <w:r w:rsidR="00B4215B">
        <w:t xml:space="preserve"> for decisions </w:t>
      </w:r>
      <w:r w:rsidR="008B0C6C">
        <w:t xml:space="preserve">regarding </w:t>
      </w:r>
      <w:r w:rsidR="00B4215B">
        <w:t xml:space="preserve">course accreditation applications. </w:t>
      </w:r>
    </w:p>
    <w:p w:rsidR="00B4215B" w:rsidRDefault="00DC41B7" w:rsidP="00A505D5">
      <w:r>
        <w:t xml:space="preserve">It was </w:t>
      </w:r>
      <w:r w:rsidR="00B4215B">
        <w:t>stressed that waiting for a course to be accredited, without having an indication of the estimated completion date,</w:t>
      </w:r>
      <w:r>
        <w:t xml:space="preserve"> may have </w:t>
      </w:r>
      <w:r w:rsidR="00B4215B">
        <w:t>financial implications for providers in relation to not being able to market the cour</w:t>
      </w:r>
      <w:r>
        <w:t>se or recruit students. This may</w:t>
      </w:r>
      <w:r w:rsidR="00B4215B">
        <w:t xml:space="preserve"> also </w:t>
      </w:r>
      <w:r>
        <w:t>affect</w:t>
      </w:r>
      <w:r w:rsidR="00B4215B">
        <w:t xml:space="preserve"> operational decisions around facility and property leases, staffing and other resources. </w:t>
      </w:r>
      <w:r>
        <w:t>Many p</w:t>
      </w:r>
      <w:r w:rsidR="00B4215B">
        <w:t xml:space="preserve">articipants believed that this put the non-self-accrediting providers at a disadvantage compared to self-accrediting providers. </w:t>
      </w:r>
    </w:p>
    <w:p w:rsidR="00B4215B" w:rsidRDefault="00DC41B7" w:rsidP="00A505D5">
      <w:r>
        <w:t xml:space="preserve">Some concerns were </w:t>
      </w:r>
      <w:r w:rsidR="00B4215B">
        <w:t>raised that</w:t>
      </w:r>
      <w:r w:rsidR="0037639D">
        <w:t>, while</w:t>
      </w:r>
      <w:r w:rsidR="00B4215B">
        <w:t xml:space="preserve"> TEQSA requests information and responses from providers within relatively short </w:t>
      </w:r>
      <w:r w:rsidR="00041A9F">
        <w:t>timeframes, this</w:t>
      </w:r>
      <w:r>
        <w:t xml:space="preserve"> is </w:t>
      </w:r>
      <w:r w:rsidR="00B4215B">
        <w:t xml:space="preserve">inconsistent with the time in which the agency </w:t>
      </w:r>
      <w:r w:rsidR="0037639D">
        <w:t xml:space="preserve">itself </w:t>
      </w:r>
      <w:r w:rsidR="00B4215B">
        <w:t>takes to provide feedback on applications, respond to risk assessments or to r</w:t>
      </w:r>
      <w:r>
        <w:t xml:space="preserve">outine enquiries from providers, who would like more timely communication. </w:t>
      </w:r>
      <w:r w:rsidR="00B4215B">
        <w:t xml:space="preserve"> </w:t>
      </w:r>
    </w:p>
    <w:p w:rsidR="00B4215B" w:rsidRDefault="00DC41B7" w:rsidP="00A505D5">
      <w:r>
        <w:lastRenderedPageBreak/>
        <w:t>F</w:t>
      </w:r>
      <w:r w:rsidR="00B4215B">
        <w:t>uture increases and stability in TEQSA’s resources should assist in reducing the time</w:t>
      </w:r>
      <w:r>
        <w:t xml:space="preserve"> taken to complete assessments </w:t>
      </w:r>
      <w:r w:rsidR="00B4215B">
        <w:t>and improve the consistency</w:t>
      </w:r>
      <w:r w:rsidR="00077BF1">
        <w:t xml:space="preserve"> and timeliness of </w:t>
      </w:r>
      <w:r w:rsidR="00B4215B">
        <w:t>communication with Case Managers</w:t>
      </w:r>
      <w:r>
        <w:t>, which was welcomed by participants.</w:t>
      </w:r>
      <w:r w:rsidR="00B4215B">
        <w:t xml:space="preserve"> </w:t>
      </w:r>
    </w:p>
    <w:p w:rsidR="00B4215B" w:rsidRDefault="00B4215B" w:rsidP="00A505D5">
      <w:pPr>
        <w:pStyle w:val="Heading3"/>
        <w:spacing w:line="240" w:lineRule="auto"/>
      </w:pPr>
      <w:r>
        <w:t>Case Manager Performance</w:t>
      </w:r>
    </w:p>
    <w:p w:rsidR="00B4215B" w:rsidRPr="00CB31F8" w:rsidRDefault="00B4215B" w:rsidP="00A505D5">
      <w:r>
        <w:t>Participants provided varying accounts of their interactions with Case Managers. Many providers confirmed that their dealings had been extremely positive</w:t>
      </w:r>
      <w:r w:rsidR="0037639D">
        <w:t>,</w:t>
      </w:r>
      <w:r>
        <w:t xml:space="preserve"> while others believed the communication and relationship with their Case</w:t>
      </w:r>
      <w:r w:rsidR="00DC41B7">
        <w:t xml:space="preserve"> Manager could be </w:t>
      </w:r>
      <w:r>
        <w:t xml:space="preserve">improved.  </w:t>
      </w:r>
    </w:p>
    <w:p w:rsidR="00B4215B" w:rsidRDefault="00B4215B" w:rsidP="00A505D5">
      <w:pPr>
        <w:pStyle w:val="Heading4"/>
        <w:spacing w:line="240" w:lineRule="auto"/>
      </w:pPr>
      <w:r>
        <w:t>Communication</w:t>
      </w:r>
    </w:p>
    <w:p w:rsidR="00B4215B" w:rsidRDefault="00DC41B7" w:rsidP="00A505D5">
      <w:r>
        <w:t xml:space="preserve">From the feedback provided by some participants, </w:t>
      </w:r>
      <w:r w:rsidR="00B4215B">
        <w:t>a balance needs to be struck as to the right amount of communication</w:t>
      </w:r>
      <w:r>
        <w:t xml:space="preserve"> between TEQSA and </w:t>
      </w:r>
      <w:r w:rsidR="00B4215B">
        <w:t>providers</w:t>
      </w:r>
      <w:r w:rsidR="008B0C6C">
        <w:t xml:space="preserve"> – </w:t>
      </w:r>
      <w:r w:rsidR="00B4215B">
        <w:t xml:space="preserve">and this may vary between </w:t>
      </w:r>
      <w:r w:rsidR="008B0C6C">
        <w:t>providers</w:t>
      </w:r>
      <w:r w:rsidR="00B4215B">
        <w:t xml:space="preserve">. The majority of participants </w:t>
      </w:r>
      <w:r>
        <w:t xml:space="preserve">indicated a preference for more regular and </w:t>
      </w:r>
      <w:r w:rsidR="00B4215B">
        <w:t>consistent communication with Case Managers,  particularly in relation to feedback on applications</w:t>
      </w:r>
      <w:r>
        <w:t xml:space="preserve">, progress of assessments, updates to </w:t>
      </w:r>
      <w:r w:rsidR="00B4215B">
        <w:t xml:space="preserve">guidance material </w:t>
      </w:r>
      <w:r>
        <w:t xml:space="preserve">and changes in </w:t>
      </w:r>
      <w:r w:rsidR="00B4215B">
        <w:t>Case Manager</w:t>
      </w:r>
      <w:r>
        <w:t>.</w:t>
      </w:r>
      <w:r w:rsidR="00B4215B">
        <w:t xml:space="preserve"> </w:t>
      </w:r>
      <w:r w:rsidR="00A72ED9">
        <w:t xml:space="preserve">These comments are consistent with the feedback provided in </w:t>
      </w:r>
      <w:r w:rsidR="008B0C6C">
        <w:t xml:space="preserve">TEQSA’s </w:t>
      </w:r>
      <w:r w:rsidR="00A72ED9">
        <w:t xml:space="preserve">2017 Stakeholder Survey. </w:t>
      </w:r>
      <w:r w:rsidR="00B4215B">
        <w:t xml:space="preserve">  </w:t>
      </w:r>
    </w:p>
    <w:p w:rsidR="00B4215B" w:rsidRDefault="00B4215B" w:rsidP="00A505D5">
      <w:r>
        <w:t xml:space="preserve">Some participants indicated a desire to meet more often </w:t>
      </w:r>
      <w:r w:rsidR="00B776AB">
        <w:t xml:space="preserve">and face-to-face </w:t>
      </w:r>
      <w:r>
        <w:t>with their Case Manager</w:t>
      </w:r>
      <w:r w:rsidR="00B776AB">
        <w:t>. Other participants requested greater transparency around provider meetings initiated by TEQSA as these can be daunting when issues have not previously been communicated and discussed</w:t>
      </w:r>
      <w:r>
        <w:t xml:space="preserve">. </w:t>
      </w:r>
    </w:p>
    <w:p w:rsidR="00B4215B" w:rsidRDefault="00B4215B" w:rsidP="00A505D5">
      <w:pPr>
        <w:pStyle w:val="Heading4"/>
        <w:spacing w:line="240" w:lineRule="auto"/>
      </w:pPr>
      <w:r>
        <w:lastRenderedPageBreak/>
        <w:t>Culture</w:t>
      </w:r>
    </w:p>
    <w:p w:rsidR="00B4215B" w:rsidRDefault="001E2D08" w:rsidP="00A505D5">
      <w:r>
        <w:t>A number</w:t>
      </w:r>
      <w:r w:rsidR="008B4BEB">
        <w:t xml:space="preserve"> of p</w:t>
      </w:r>
      <w:r w:rsidR="00B4215B">
        <w:t>articipants</w:t>
      </w:r>
      <w:r w:rsidR="008B4BEB">
        <w:t xml:space="preserve"> raised concerns about the </w:t>
      </w:r>
      <w:r w:rsidR="00B4215B">
        <w:t>high turnover of Case Managers</w:t>
      </w:r>
      <w:r w:rsidR="00E92368">
        <w:t>,</w:t>
      </w:r>
      <w:r w:rsidR="008B4BEB">
        <w:t xml:space="preserve"> which may contribute to a </w:t>
      </w:r>
      <w:r w:rsidR="00B4215B">
        <w:t>los</w:t>
      </w:r>
      <w:r w:rsidR="008B4BEB">
        <w:t>s of corporate knowledge</w:t>
      </w:r>
      <w:r w:rsidR="00117AC9">
        <w:t xml:space="preserve"> in,</w:t>
      </w:r>
      <w:r w:rsidR="008B4BEB">
        <w:t xml:space="preserve"> and </w:t>
      </w:r>
      <w:r w:rsidR="00B4215B">
        <w:t>inconsistent</w:t>
      </w:r>
      <w:r w:rsidR="008B4BEB">
        <w:t xml:space="preserve"> experiences w</w:t>
      </w:r>
      <w:r w:rsidR="00B4215B">
        <w:t>ith</w:t>
      </w:r>
      <w:r w:rsidR="00117AC9">
        <w:t>,</w:t>
      </w:r>
      <w:r w:rsidR="00B4215B">
        <w:t xml:space="preserve"> </w:t>
      </w:r>
      <w:r>
        <w:t>TEQSA</w:t>
      </w:r>
      <w:r w:rsidR="00B4215B">
        <w:t xml:space="preserve">. </w:t>
      </w:r>
    </w:p>
    <w:p w:rsidR="00E92368" w:rsidRDefault="00B4215B" w:rsidP="00A505D5">
      <w:r>
        <w:t xml:space="preserve">There </w:t>
      </w:r>
      <w:r w:rsidR="001E2D08">
        <w:t xml:space="preserve">was </w:t>
      </w:r>
      <w:r>
        <w:t xml:space="preserve">also </w:t>
      </w:r>
      <w:r w:rsidR="001E2D08">
        <w:t>a</w:t>
      </w:r>
      <w:r w:rsidR="00B3255F">
        <w:t xml:space="preserve"> </w:t>
      </w:r>
      <w:r>
        <w:t xml:space="preserve">concern </w:t>
      </w:r>
      <w:r w:rsidR="00E92368">
        <w:t>raised</w:t>
      </w:r>
      <w:r w:rsidR="00077BF1">
        <w:t xml:space="preserve"> by some participants </w:t>
      </w:r>
      <w:r>
        <w:t xml:space="preserve">that </w:t>
      </w:r>
      <w:r w:rsidR="001E2D08">
        <w:t xml:space="preserve">the agency </w:t>
      </w:r>
      <w:r>
        <w:t>does not understand</w:t>
      </w:r>
      <w:r w:rsidR="00E92368">
        <w:t xml:space="preserve"> or take into account the differences of </w:t>
      </w:r>
      <w:r w:rsidR="001E2D08">
        <w:t>independent and TAFE higher education providers</w:t>
      </w:r>
      <w:r w:rsidR="00B3255F">
        <w:t xml:space="preserve"> and</w:t>
      </w:r>
      <w:r w:rsidR="00117AC9">
        <w:t>,</w:t>
      </w:r>
      <w:r w:rsidR="00B3255F">
        <w:t xml:space="preserve"> in </w:t>
      </w:r>
      <w:r w:rsidR="001E2D08">
        <w:t>extreme</w:t>
      </w:r>
      <w:r w:rsidR="00B3255F">
        <w:t xml:space="preserve"> cases</w:t>
      </w:r>
      <w:r w:rsidR="001E2D08">
        <w:t>, there is</w:t>
      </w:r>
      <w:r w:rsidR="00B3255F">
        <w:t xml:space="preserve"> a perception that TEQSA may appear biased against </w:t>
      </w:r>
      <w:r w:rsidR="001E2D08">
        <w:t xml:space="preserve">these </w:t>
      </w:r>
      <w:r w:rsidR="00B3255F">
        <w:t>provider</w:t>
      </w:r>
      <w:r w:rsidR="001E2D08">
        <w:t xml:space="preserve"> types</w:t>
      </w:r>
      <w:r w:rsidR="00E92368">
        <w:t>. For example, small-scale providers are not able to compete with larger providers, including universities, in terms of resources and yet TEQSA</w:t>
      </w:r>
      <w:r w:rsidR="001E2D08">
        <w:t xml:space="preserve"> is seen by some to</w:t>
      </w:r>
      <w:r w:rsidR="00E92368">
        <w:t xml:space="preserve"> appl</w:t>
      </w:r>
      <w:r w:rsidR="001E2D08">
        <w:t>y</w:t>
      </w:r>
      <w:r w:rsidR="00E92368">
        <w:t xml:space="preserve"> a one-size fits all approach in regards to policies, procedures and regulation. </w:t>
      </w:r>
    </w:p>
    <w:p w:rsidR="00B4215B" w:rsidRDefault="00B3255F" w:rsidP="00A505D5">
      <w:r>
        <w:t>The suggestion was made that t</w:t>
      </w:r>
      <w:r w:rsidR="00B4215B">
        <w:t xml:space="preserve">his could be improved </w:t>
      </w:r>
      <w:r w:rsidR="00117AC9">
        <w:t>through</w:t>
      </w:r>
      <w:r>
        <w:t xml:space="preserve"> diversifying TEQSA’s workforce by</w:t>
      </w:r>
      <w:r w:rsidR="00B4215B">
        <w:t xml:space="preserve"> recruiting Case Managers with more experience in the private sector, industry or business. </w:t>
      </w:r>
    </w:p>
    <w:p w:rsidR="00B4215B" w:rsidRDefault="00B4215B" w:rsidP="00A505D5">
      <w:r>
        <w:t>Th</w:t>
      </w:r>
      <w:r w:rsidR="00B3255F">
        <w:t xml:space="preserve">ese comments are consistent with feedback provided in the 2017 </w:t>
      </w:r>
      <w:r>
        <w:t>Stakeholder Survey</w:t>
      </w:r>
      <w:r w:rsidR="00B3255F">
        <w:t xml:space="preserve">. </w:t>
      </w:r>
      <w:r>
        <w:t xml:space="preserve"> </w:t>
      </w:r>
    </w:p>
    <w:p w:rsidR="00B4215B" w:rsidRDefault="00B4215B" w:rsidP="00A505D5">
      <w:pPr>
        <w:pStyle w:val="Heading3"/>
        <w:spacing w:line="240" w:lineRule="auto"/>
      </w:pPr>
      <w:r>
        <w:t>Risk Indicators and Assessments</w:t>
      </w:r>
    </w:p>
    <w:p w:rsidR="002D0A24" w:rsidRDefault="00B4215B" w:rsidP="00A505D5">
      <w:r>
        <w:t>Generally, participants indicated that the TEQSA Risk Assessment was a helpful document and that the communication with the agency in collec</w:t>
      </w:r>
      <w:r w:rsidR="002D0A24">
        <w:t>ting and validating the data was a</w:t>
      </w:r>
      <w:r>
        <w:t xml:space="preserve"> positive</w:t>
      </w:r>
      <w:r w:rsidR="002D0A24">
        <w:t xml:space="preserve"> experience</w:t>
      </w:r>
      <w:r>
        <w:t xml:space="preserve">. </w:t>
      </w:r>
    </w:p>
    <w:p w:rsidR="00B4215B" w:rsidRDefault="002D0A24" w:rsidP="00A505D5">
      <w:r>
        <w:t xml:space="preserve">Participants indicated varying </w:t>
      </w:r>
      <w:r w:rsidR="00B4215B">
        <w:t>level</w:t>
      </w:r>
      <w:r>
        <w:t>s</w:t>
      </w:r>
      <w:r w:rsidR="00B4215B">
        <w:t xml:space="preserve"> of understanding of </w:t>
      </w:r>
      <w:r>
        <w:t>the</w:t>
      </w:r>
      <w:r w:rsidR="00B4215B">
        <w:t xml:space="preserve"> risk indicators and </w:t>
      </w:r>
      <w:r>
        <w:t xml:space="preserve">there was a strong desire </w:t>
      </w:r>
      <w:r w:rsidR="00B4215B">
        <w:t xml:space="preserve">that TEQSA gives greater consideration to the context </w:t>
      </w:r>
      <w:r>
        <w:t>of the provider when developing the risk assessment</w:t>
      </w:r>
      <w:r w:rsidR="001E2D08">
        <w:t xml:space="preserve"> –</w:t>
      </w:r>
      <w:r>
        <w:t xml:space="preserve"> particularly </w:t>
      </w:r>
      <w:r w:rsidR="001E2D08">
        <w:t xml:space="preserve">regarding </w:t>
      </w:r>
      <w:r>
        <w:t>calculating</w:t>
      </w:r>
      <w:r w:rsidR="00B4215B">
        <w:t xml:space="preserve"> attrition data and conducting financial analysis. </w:t>
      </w:r>
      <w:r>
        <w:lastRenderedPageBreak/>
        <w:t>Similarly, the context of the provider should be taken into account when developing International Activity Profiles.</w:t>
      </w:r>
    </w:p>
    <w:p w:rsidR="00B4215B" w:rsidRDefault="00B4215B" w:rsidP="00A505D5">
      <w:r>
        <w:t xml:space="preserve">For </w:t>
      </w:r>
      <w:r w:rsidR="001E2D08">
        <w:t xml:space="preserve">a number of </w:t>
      </w:r>
      <w:r>
        <w:t xml:space="preserve">providers, more transparency on risk thresholds and the weighting that is applied to different indicators would be beneficial. </w:t>
      </w:r>
    </w:p>
    <w:p w:rsidR="00B4215B" w:rsidRDefault="002D0A24" w:rsidP="00A505D5">
      <w:r>
        <w:t>In regards to organisational risk, many participants indicated that change</w:t>
      </w:r>
      <w:r w:rsidR="00B4215B">
        <w:t xml:space="preserve">s in Government policy </w:t>
      </w:r>
      <w:r w:rsidR="00077BF1">
        <w:t>is</w:t>
      </w:r>
      <w:r>
        <w:t xml:space="preserve"> i</w:t>
      </w:r>
      <w:r w:rsidR="00B4215B">
        <w:t xml:space="preserve">dentified as one of the most significant risks </w:t>
      </w:r>
      <w:r>
        <w:t xml:space="preserve">for their institutions. </w:t>
      </w:r>
    </w:p>
    <w:p w:rsidR="00B4215B" w:rsidRDefault="00B4215B" w:rsidP="00A505D5">
      <w:pPr>
        <w:pStyle w:val="Heading3"/>
        <w:spacing w:line="240" w:lineRule="auto"/>
      </w:pPr>
      <w:r>
        <w:t>Guidance Notes</w:t>
      </w:r>
    </w:p>
    <w:p w:rsidR="00B4215B" w:rsidRDefault="00D557DB" w:rsidP="00A505D5">
      <w:r>
        <w:t>Generally</w:t>
      </w:r>
      <w:r w:rsidR="005E1864">
        <w:t>,</w:t>
      </w:r>
      <w:r>
        <w:t xml:space="preserve"> </w:t>
      </w:r>
      <w:r w:rsidR="00B4215B">
        <w:t xml:space="preserve">participants indicated that </w:t>
      </w:r>
      <w:r w:rsidR="005E1864">
        <w:t xml:space="preserve">TEQSA’s </w:t>
      </w:r>
      <w:r w:rsidR="00B4215B">
        <w:t xml:space="preserve">Guidance Notes were helpful for interpreting the Higher Education Standards Framework. However, </w:t>
      </w:r>
      <w:r>
        <w:t xml:space="preserve">the consensus was that </w:t>
      </w:r>
      <w:r w:rsidR="00B4215B">
        <w:t xml:space="preserve">more communication is required to alert providers when </w:t>
      </w:r>
      <w:r w:rsidR="005E1864">
        <w:t>G</w:t>
      </w:r>
      <w:r w:rsidR="00B4215B">
        <w:t xml:space="preserve">uidance </w:t>
      </w:r>
      <w:r w:rsidR="005E1864">
        <w:t>Notes are</w:t>
      </w:r>
      <w:r w:rsidR="00B4215B">
        <w:t xml:space="preserve"> released or updated</w:t>
      </w:r>
      <w:r w:rsidR="005E1864">
        <w:t>,</w:t>
      </w:r>
      <w:r w:rsidR="00B4215B">
        <w:t xml:space="preserve"> and to explain what changes have been made and why. </w:t>
      </w:r>
    </w:p>
    <w:p w:rsidR="00B4215B" w:rsidRPr="0014112B" w:rsidRDefault="00D557DB" w:rsidP="00A505D5">
      <w:r>
        <w:t xml:space="preserve">Some providers also </w:t>
      </w:r>
      <w:r w:rsidR="00B4215B">
        <w:t>sought</w:t>
      </w:r>
      <w:r>
        <w:t xml:space="preserve"> clarity</w:t>
      </w:r>
      <w:r w:rsidR="00B4215B">
        <w:t xml:space="preserve"> about the process for consulting with providers in developing </w:t>
      </w:r>
      <w:r w:rsidR="00077BF1">
        <w:t>guidance material</w:t>
      </w:r>
      <w:r w:rsidR="005E1864">
        <w:t xml:space="preserve"> </w:t>
      </w:r>
      <w:r w:rsidR="00B4215B">
        <w:t xml:space="preserve">and </w:t>
      </w:r>
      <w:r w:rsidR="00687E64">
        <w:t xml:space="preserve">on </w:t>
      </w:r>
      <w:r w:rsidR="00B4215B">
        <w:t>whether the information published in Guidance Note</w:t>
      </w:r>
      <w:r w:rsidR="005E1864">
        <w:t>s</w:t>
      </w:r>
      <w:r w:rsidR="00B4215B">
        <w:t xml:space="preserve"> is a</w:t>
      </w:r>
      <w:r w:rsidR="00687E64">
        <w:t xml:space="preserve"> suggestion, a recommendation, a</w:t>
      </w:r>
      <w:r w:rsidR="00B4215B">
        <w:t xml:space="preserve">n expectation or a </w:t>
      </w:r>
      <w:r w:rsidR="00687E64">
        <w:t>‘</w:t>
      </w:r>
      <w:r w:rsidR="00B4215B">
        <w:t>must do</w:t>
      </w:r>
      <w:r w:rsidR="00687E64">
        <w:t>’</w:t>
      </w:r>
      <w:r w:rsidR="00B4215B">
        <w:t xml:space="preserve">.    </w:t>
      </w:r>
    </w:p>
    <w:p w:rsidR="00B4215B" w:rsidRDefault="00B4215B" w:rsidP="00A505D5">
      <w:pPr>
        <w:pStyle w:val="Heading3"/>
        <w:spacing w:line="240" w:lineRule="auto"/>
      </w:pPr>
      <w:r>
        <w:t>Confidentiality and Protection of Information</w:t>
      </w:r>
    </w:p>
    <w:p w:rsidR="00B4215B" w:rsidRPr="00380E21" w:rsidRDefault="00B4215B" w:rsidP="00A505D5">
      <w:r>
        <w:t>Concerns were raised</w:t>
      </w:r>
      <w:r w:rsidR="004E3A37">
        <w:t xml:space="preserve"> by a </w:t>
      </w:r>
      <w:r w:rsidR="005E1864">
        <w:t xml:space="preserve">small number of independent and TAFE higher education </w:t>
      </w:r>
      <w:r w:rsidR="004E3A37">
        <w:t xml:space="preserve">providers </w:t>
      </w:r>
      <w:r>
        <w:t xml:space="preserve">as to the security and confidentiality of information once submitted to TEQSA. Clarity was sought as to how </w:t>
      </w:r>
      <w:r w:rsidR="005E1864">
        <w:t xml:space="preserve">the agency </w:t>
      </w:r>
      <w:r>
        <w:t xml:space="preserve">ensures the protection of sensitive information and intellectual property, through confidentiality agreements with its staff, and how the agency would </w:t>
      </w:r>
      <w:r w:rsidR="004E3A37">
        <w:t xml:space="preserve">act </w:t>
      </w:r>
      <w:r>
        <w:t>in the event of a breach</w:t>
      </w:r>
      <w:r w:rsidR="00687E64">
        <w:t xml:space="preserve"> by either current or former staff</w:t>
      </w:r>
      <w:r>
        <w:t xml:space="preserve">.     </w:t>
      </w:r>
    </w:p>
    <w:p w:rsidR="00B4215B" w:rsidRDefault="00B4215B" w:rsidP="00A505D5">
      <w:pPr>
        <w:pStyle w:val="Heading3"/>
        <w:spacing w:line="240" w:lineRule="auto"/>
      </w:pPr>
      <w:r>
        <w:lastRenderedPageBreak/>
        <w:t>Other Issues Raised</w:t>
      </w:r>
    </w:p>
    <w:p w:rsidR="00B4215B" w:rsidRDefault="00B4215B" w:rsidP="00A505D5">
      <w:r>
        <w:t xml:space="preserve">The following issues were also raised </w:t>
      </w:r>
      <w:r w:rsidR="009615EF">
        <w:t xml:space="preserve">by participants </w:t>
      </w:r>
      <w:r>
        <w:t>during the small group sessions:</w:t>
      </w:r>
    </w:p>
    <w:p w:rsidR="00B4215B" w:rsidRDefault="009129E1" w:rsidP="00A505D5">
      <w:pPr>
        <w:pStyle w:val="ListParagraph"/>
        <w:numPr>
          <w:ilvl w:val="0"/>
          <w:numId w:val="22"/>
        </w:numPr>
      </w:pPr>
      <w:r>
        <w:t>Tailoring c</w:t>
      </w:r>
      <w:r w:rsidR="00B4215B">
        <w:t>ourse accreditation processes and evidence requirements to</w:t>
      </w:r>
      <w:r w:rsidR="009615EF">
        <w:t xml:space="preserve"> better</w:t>
      </w:r>
      <w:r w:rsidR="00B4215B">
        <w:t xml:space="preserve"> meet </w:t>
      </w:r>
      <w:r w:rsidR="009615EF">
        <w:t xml:space="preserve">the </w:t>
      </w:r>
      <w:r w:rsidR="00B4215B">
        <w:t>business needs</w:t>
      </w:r>
      <w:r w:rsidR="009615EF">
        <w:t xml:space="preserve"> of the provider</w:t>
      </w:r>
      <w:r w:rsidR="00B4215B">
        <w:t>.</w:t>
      </w:r>
    </w:p>
    <w:p w:rsidR="00B4215B" w:rsidRDefault="009615EF" w:rsidP="00A505D5">
      <w:pPr>
        <w:pStyle w:val="ListParagraph"/>
        <w:numPr>
          <w:ilvl w:val="0"/>
          <w:numId w:val="22"/>
        </w:numPr>
      </w:pPr>
      <w:r>
        <w:t>Continue to streamline a</w:t>
      </w:r>
      <w:r w:rsidR="00B4215B">
        <w:t>ssessment processes</w:t>
      </w:r>
      <w:r>
        <w:t>:</w:t>
      </w:r>
      <w:r w:rsidR="00B4215B">
        <w:t xml:space="preserve"> less burden for low risk providers/courses or new courses already </w:t>
      </w:r>
      <w:r w:rsidR="00B4215B" w:rsidRPr="00C41C52">
        <w:t>within a providers</w:t>
      </w:r>
      <w:r w:rsidR="00B4215B">
        <w:t>’</w:t>
      </w:r>
      <w:r w:rsidR="00B4215B" w:rsidRPr="00C41C52">
        <w:t xml:space="preserve"> scope of delivery; running internal and external reviews of material concurrently; and working more cohesively with peak and professional bodies to ensure that these accreditation processes are not impacted by TEQSA</w:t>
      </w:r>
      <w:r w:rsidR="00B4215B">
        <w:t>’</w:t>
      </w:r>
      <w:r w:rsidR="00B4215B" w:rsidRPr="00C41C52">
        <w:t>s timeframes for decision</w:t>
      </w:r>
      <w:r w:rsidR="00B4215B">
        <w:t xml:space="preserve"> making</w:t>
      </w:r>
      <w:r w:rsidR="00B4215B" w:rsidRPr="00C41C52">
        <w:t xml:space="preserve">.  </w:t>
      </w:r>
    </w:p>
    <w:p w:rsidR="00B4215B" w:rsidRDefault="009129E1" w:rsidP="00A505D5">
      <w:pPr>
        <w:pStyle w:val="ListParagraph"/>
        <w:numPr>
          <w:ilvl w:val="0"/>
          <w:numId w:val="22"/>
        </w:numPr>
      </w:pPr>
      <w:r>
        <w:t xml:space="preserve">Responses from </w:t>
      </w:r>
      <w:r w:rsidR="00B4215B">
        <w:t xml:space="preserve">Case Managers </w:t>
      </w:r>
      <w:r>
        <w:t xml:space="preserve">in a more timely and </w:t>
      </w:r>
      <w:r w:rsidR="00B4215B">
        <w:t>con</w:t>
      </w:r>
      <w:r>
        <w:t xml:space="preserve">sistent manner to all enquiries, to </w:t>
      </w:r>
      <w:r w:rsidR="00B4215B">
        <w:t>strengthen</w:t>
      </w:r>
      <w:r>
        <w:t xml:space="preserve"> relationships and ensure</w:t>
      </w:r>
      <w:r w:rsidR="00B4215B">
        <w:t xml:space="preserve"> providers receive feedback on applications so that </w:t>
      </w:r>
      <w:r w:rsidR="009615EF">
        <w:t xml:space="preserve">necessary </w:t>
      </w:r>
      <w:r w:rsidR="00B4215B">
        <w:t>impro</w:t>
      </w:r>
      <w:r w:rsidR="009615EF">
        <w:t>vements can be made.</w:t>
      </w:r>
      <w:r w:rsidR="00B4215B">
        <w:t xml:space="preserve"> </w:t>
      </w:r>
    </w:p>
    <w:p w:rsidR="00B4215B" w:rsidRDefault="009129E1" w:rsidP="00A505D5">
      <w:pPr>
        <w:pStyle w:val="ListParagraph"/>
        <w:numPr>
          <w:ilvl w:val="0"/>
          <w:numId w:val="22"/>
        </w:numPr>
      </w:pPr>
      <w:r>
        <w:t>Give p</w:t>
      </w:r>
      <w:r w:rsidR="00B4215B">
        <w:t>roviders</w:t>
      </w:r>
      <w:r w:rsidR="009615EF">
        <w:t xml:space="preserve"> </w:t>
      </w:r>
      <w:r w:rsidR="00B4215B">
        <w:t>more information on their options for internal review and</w:t>
      </w:r>
      <w:r w:rsidR="009615EF">
        <w:t xml:space="preserve"> </w:t>
      </w:r>
      <w:r>
        <w:t xml:space="preserve">increase </w:t>
      </w:r>
      <w:r w:rsidR="009615EF">
        <w:t xml:space="preserve">communication from Case Manager’s </w:t>
      </w:r>
      <w:r>
        <w:t xml:space="preserve">so that providers </w:t>
      </w:r>
      <w:r w:rsidR="00B4215B">
        <w:t xml:space="preserve">understand the circumstances around conditions imposed. </w:t>
      </w:r>
    </w:p>
    <w:p w:rsidR="00B4215B" w:rsidRDefault="009129E1" w:rsidP="00A505D5">
      <w:pPr>
        <w:pStyle w:val="ListParagraph"/>
        <w:numPr>
          <w:ilvl w:val="0"/>
          <w:numId w:val="22"/>
        </w:numPr>
      </w:pPr>
      <w:r>
        <w:t>T</w:t>
      </w:r>
      <w:r w:rsidR="009615EF">
        <w:t>ake into account the context of the provider</w:t>
      </w:r>
      <w:r>
        <w:t xml:space="preserve"> when collecting data</w:t>
      </w:r>
      <w:r w:rsidR="00687E64">
        <w:t>;</w:t>
      </w:r>
      <w:r w:rsidR="009615EF">
        <w:t xml:space="preserve"> for example,</w:t>
      </w:r>
      <w:r w:rsidR="00B4215B">
        <w:t xml:space="preserve"> graduate outcome data</w:t>
      </w:r>
      <w:r w:rsidR="009615EF">
        <w:t xml:space="preserve"> for international students</w:t>
      </w:r>
      <w:r w:rsidR="00B4215B">
        <w:t xml:space="preserve"> is hard to collect once the student leaves Australia, which may affect </w:t>
      </w:r>
      <w:r w:rsidR="009615EF">
        <w:t>the a</w:t>
      </w:r>
      <w:r w:rsidR="00B4215B">
        <w:t xml:space="preserve">bility to report data accurately. </w:t>
      </w:r>
    </w:p>
    <w:p w:rsidR="00B4215B" w:rsidRDefault="003314FC" w:rsidP="00A505D5">
      <w:pPr>
        <w:pStyle w:val="ListParagraph"/>
        <w:numPr>
          <w:ilvl w:val="0"/>
          <w:numId w:val="22"/>
        </w:numPr>
      </w:pPr>
      <w:r>
        <w:t>Give greater</w:t>
      </w:r>
      <w:r w:rsidR="009129E1">
        <w:t xml:space="preserve"> focus to</w:t>
      </w:r>
      <w:r w:rsidR="00B4215B">
        <w:t xml:space="preserve"> employability as a student outcome</w:t>
      </w:r>
      <w:r w:rsidR="009129E1">
        <w:t>.</w:t>
      </w:r>
      <w:r w:rsidR="00B4215B">
        <w:t xml:space="preserve"> </w:t>
      </w:r>
    </w:p>
    <w:p w:rsidR="00B4215B" w:rsidRDefault="009129E1" w:rsidP="00A505D5">
      <w:pPr>
        <w:pStyle w:val="ListParagraph"/>
        <w:numPr>
          <w:ilvl w:val="0"/>
          <w:numId w:val="22"/>
        </w:numPr>
      </w:pPr>
      <w:r>
        <w:t>Collaborations between i</w:t>
      </w:r>
      <w:r w:rsidR="00B4215B">
        <w:t>ndependent and TAFE providers to diversify the sector and create more choice</w:t>
      </w:r>
      <w:r>
        <w:t>s</w:t>
      </w:r>
      <w:r w:rsidR="00B4215B">
        <w:t xml:space="preserve"> for students. </w:t>
      </w:r>
    </w:p>
    <w:p w:rsidR="00B4215B" w:rsidRDefault="009129E1" w:rsidP="00A505D5">
      <w:pPr>
        <w:pStyle w:val="ListParagraph"/>
        <w:numPr>
          <w:ilvl w:val="0"/>
          <w:numId w:val="22"/>
        </w:numPr>
      </w:pPr>
      <w:r>
        <w:lastRenderedPageBreak/>
        <w:t xml:space="preserve">Increase independent and TAFE provider representation at </w:t>
      </w:r>
      <w:r w:rsidR="00B4215B">
        <w:t xml:space="preserve">TEQSA events, including the </w:t>
      </w:r>
      <w:r w:rsidR="005E1864">
        <w:t>annual TEQSA c</w:t>
      </w:r>
      <w:r w:rsidR="00B4215B">
        <w:t>onference</w:t>
      </w:r>
      <w:r>
        <w:t>.</w:t>
      </w:r>
      <w:r w:rsidR="00B4215B">
        <w:t xml:space="preserve"> </w:t>
      </w:r>
    </w:p>
    <w:p w:rsidR="00B4215B" w:rsidRPr="000A667E" w:rsidRDefault="009129E1" w:rsidP="00A505D5">
      <w:pPr>
        <w:pStyle w:val="ListParagraph"/>
        <w:numPr>
          <w:ilvl w:val="0"/>
          <w:numId w:val="22"/>
        </w:numPr>
      </w:pPr>
      <w:r>
        <w:t xml:space="preserve">Ensure appropriate </w:t>
      </w:r>
      <w:r w:rsidR="00B4215B">
        <w:t>level</w:t>
      </w:r>
      <w:r>
        <w:t>s</w:t>
      </w:r>
      <w:r w:rsidR="00B4215B">
        <w:t xml:space="preserve"> of consultation </w:t>
      </w:r>
      <w:r>
        <w:t xml:space="preserve">with the sector </w:t>
      </w:r>
      <w:r w:rsidR="00B4215B">
        <w:t>around upcoming changes to TEQSA’s cost recovery model, tak</w:t>
      </w:r>
      <w:r>
        <w:t xml:space="preserve">ing </w:t>
      </w:r>
      <w:r w:rsidR="00B4215B">
        <w:t xml:space="preserve">the scale of providers and the </w:t>
      </w:r>
      <w:r w:rsidR="00C4003F">
        <w:t xml:space="preserve">potential </w:t>
      </w:r>
      <w:r w:rsidR="00B4215B">
        <w:t>impact of providers passing on costs to students</w:t>
      </w:r>
      <w:r>
        <w:t xml:space="preserve"> into account in developing the model</w:t>
      </w:r>
      <w:r w:rsidR="00B4215B">
        <w:t xml:space="preserve">.  </w:t>
      </w:r>
    </w:p>
    <w:p w:rsidR="00B4215B" w:rsidRDefault="00B4215B" w:rsidP="00A505D5">
      <w:pPr>
        <w:pStyle w:val="Heading2"/>
        <w:spacing w:line="240" w:lineRule="auto"/>
      </w:pPr>
      <w:r>
        <w:t>Sydney</w:t>
      </w:r>
    </w:p>
    <w:p w:rsidR="00FE01EA" w:rsidRPr="006349D9" w:rsidRDefault="006349D9" w:rsidP="00A505D5">
      <w:pPr>
        <w:pStyle w:val="Heading3"/>
        <w:spacing w:line="240" w:lineRule="auto"/>
      </w:pPr>
      <w:r w:rsidRPr="006349D9">
        <w:t xml:space="preserve">Reputation of Private Providers: Recognising and </w:t>
      </w:r>
      <w:r w:rsidR="00727733" w:rsidRPr="006349D9">
        <w:t>Valu</w:t>
      </w:r>
      <w:r w:rsidR="00727733">
        <w:t>i</w:t>
      </w:r>
      <w:r w:rsidR="00727733" w:rsidRPr="006349D9">
        <w:t>ng</w:t>
      </w:r>
      <w:r w:rsidRPr="006349D9">
        <w:t xml:space="preserve"> Uniqueness</w:t>
      </w:r>
    </w:p>
    <w:p w:rsidR="0051357B" w:rsidRDefault="005E1864" w:rsidP="00A505D5">
      <w:r>
        <w:t>Some</w:t>
      </w:r>
      <w:r w:rsidRPr="00687647">
        <w:t xml:space="preserve"> </w:t>
      </w:r>
      <w:r w:rsidR="0051357B" w:rsidRPr="00687647">
        <w:t xml:space="preserve">participants expressed </w:t>
      </w:r>
      <w:r w:rsidR="00355F76">
        <w:t>a</w:t>
      </w:r>
      <w:r w:rsidR="00355F76" w:rsidRPr="00687647">
        <w:t xml:space="preserve"> </w:t>
      </w:r>
      <w:r w:rsidR="0051357B">
        <w:t xml:space="preserve">belief </w:t>
      </w:r>
      <w:r w:rsidR="0051357B" w:rsidRPr="00687647">
        <w:t xml:space="preserve">that the </w:t>
      </w:r>
      <w:r w:rsidR="00041A9F">
        <w:t xml:space="preserve">distinctiveness </w:t>
      </w:r>
      <w:r w:rsidR="00041A9F" w:rsidRPr="00687647">
        <w:t>of</w:t>
      </w:r>
      <w:r w:rsidR="00355F76">
        <w:t xml:space="preserve"> independent and TAFE </w:t>
      </w:r>
      <w:r>
        <w:t xml:space="preserve">higher education </w:t>
      </w:r>
      <w:r w:rsidR="00355F76">
        <w:t>providers</w:t>
      </w:r>
      <w:r w:rsidR="004D23C8">
        <w:t>, and the benefits that this brings to sector,</w:t>
      </w:r>
      <w:r w:rsidR="0051357B" w:rsidRPr="00687647">
        <w:t xml:space="preserve"> </w:t>
      </w:r>
      <w:r>
        <w:t>is</w:t>
      </w:r>
      <w:r w:rsidRPr="00687647">
        <w:t xml:space="preserve"> </w:t>
      </w:r>
      <w:r w:rsidR="0051357B" w:rsidRPr="00687647">
        <w:t>not recognised</w:t>
      </w:r>
      <w:r w:rsidR="004D23C8">
        <w:t xml:space="preserve"> or </w:t>
      </w:r>
      <w:r w:rsidR="0051357B" w:rsidRPr="00687647">
        <w:t>valued</w:t>
      </w:r>
      <w:r w:rsidR="004D23C8">
        <w:t xml:space="preserve"> highly</w:t>
      </w:r>
      <w:r w:rsidR="0051357B" w:rsidRPr="00687647">
        <w:t xml:space="preserve"> </w:t>
      </w:r>
      <w:r w:rsidR="004D23C8">
        <w:t>enough by TEQSA</w:t>
      </w:r>
      <w:r>
        <w:t>. They believed that this</w:t>
      </w:r>
      <w:r w:rsidR="004D23C8">
        <w:t xml:space="preserve"> </w:t>
      </w:r>
      <w:r>
        <w:t>i</w:t>
      </w:r>
      <w:r w:rsidR="004D23C8">
        <w:t xml:space="preserve">s seen through experiences with some </w:t>
      </w:r>
      <w:r w:rsidR="0051357B">
        <w:t>Case Managers</w:t>
      </w:r>
      <w:r w:rsidR="004D23C8">
        <w:t xml:space="preserve"> and </w:t>
      </w:r>
      <w:r w:rsidR="0051357B">
        <w:t xml:space="preserve">in </w:t>
      </w:r>
      <w:r w:rsidR="0051357B" w:rsidRPr="00687647">
        <w:t xml:space="preserve">the way the </w:t>
      </w:r>
      <w:r w:rsidR="00355F76">
        <w:t xml:space="preserve">Higher Education Standards Framework </w:t>
      </w:r>
      <w:r>
        <w:t>can be</w:t>
      </w:r>
      <w:r w:rsidR="004D23C8">
        <w:t xml:space="preserve"> </w:t>
      </w:r>
      <w:r w:rsidR="0051357B" w:rsidRPr="00687647">
        <w:t>applied</w:t>
      </w:r>
      <w:r w:rsidR="00355F76">
        <w:t>. There was also concern that</w:t>
      </w:r>
      <w:r w:rsidR="00687E64">
        <w:t>,</w:t>
      </w:r>
      <w:r w:rsidR="0051357B">
        <w:t xml:space="preserve"> in </w:t>
      </w:r>
      <w:r w:rsidR="004D23C8">
        <w:t xml:space="preserve">a few </w:t>
      </w:r>
      <w:r w:rsidR="0051357B">
        <w:t>cases</w:t>
      </w:r>
      <w:r w:rsidR="00355F76">
        <w:t>,</w:t>
      </w:r>
      <w:r w:rsidR="0051357B">
        <w:t xml:space="preserve"> there is a perceived inconsistency in</w:t>
      </w:r>
      <w:r w:rsidR="00355F76">
        <w:t xml:space="preserve"> TEQSA’s</w:t>
      </w:r>
      <w:r w:rsidR="0051357B">
        <w:t xml:space="preserve"> decision making</w:t>
      </w:r>
      <w:r w:rsidR="004D23C8">
        <w:t xml:space="preserve"> for independent and TAFE</w:t>
      </w:r>
      <w:r>
        <w:t xml:space="preserve"> higher education</w:t>
      </w:r>
      <w:r w:rsidR="004D23C8">
        <w:t xml:space="preserve"> providers.</w:t>
      </w:r>
    </w:p>
    <w:p w:rsidR="0051357B" w:rsidRDefault="005E1864" w:rsidP="00A505D5">
      <w:r>
        <w:t>The comment was made</w:t>
      </w:r>
      <w:r w:rsidR="004D23C8">
        <w:t xml:space="preserve"> by some participants that TEQSA could do more to </w:t>
      </w:r>
      <w:r w:rsidR="0051357B">
        <w:t>ensure</w:t>
      </w:r>
      <w:r w:rsidR="004D23C8">
        <w:t xml:space="preserve"> its</w:t>
      </w:r>
      <w:r w:rsidR="0051357B">
        <w:t xml:space="preserve"> regulatory processes are tailored to take into account the different contexts of providers and ensure that the </w:t>
      </w:r>
      <w:r w:rsidR="00355F76">
        <w:t>Higher Education Standards Framework</w:t>
      </w:r>
      <w:r w:rsidR="0051357B">
        <w:t xml:space="preserve"> and TEQSA’s expectations of evidence requirements do no</w:t>
      </w:r>
      <w:r w:rsidR="00687E64">
        <w:t>t</w:t>
      </w:r>
      <w:r w:rsidR="0051357B">
        <w:t xml:space="preserve"> stifle diversity and innovation</w:t>
      </w:r>
      <w:r w:rsidR="00355F76">
        <w:t xml:space="preserve"> –</w:t>
      </w:r>
      <w:r w:rsidR="0051357B">
        <w:t xml:space="preserve"> particularly in niche and specialist areas. </w:t>
      </w:r>
    </w:p>
    <w:p w:rsidR="00D903EB" w:rsidRDefault="00D903EB" w:rsidP="00A505D5">
      <w:r>
        <w:t>Some participants</w:t>
      </w:r>
      <w:r w:rsidR="004D23C8">
        <w:t xml:space="preserve"> </w:t>
      </w:r>
      <w:r>
        <w:t xml:space="preserve">indicated a belief that </w:t>
      </w:r>
      <w:r w:rsidR="00355F76">
        <w:t>independent and TAFE</w:t>
      </w:r>
      <w:r w:rsidR="005E1864">
        <w:t xml:space="preserve"> higher education</w:t>
      </w:r>
      <w:r w:rsidR="0051357B">
        <w:t xml:space="preserve"> providers are perceived</w:t>
      </w:r>
      <w:r>
        <w:t xml:space="preserve"> by the </w:t>
      </w:r>
      <w:r>
        <w:lastRenderedPageBreak/>
        <w:t>broader community as p</w:t>
      </w:r>
      <w:r w:rsidR="0051357B" w:rsidRPr="003F4753">
        <w:t xml:space="preserve">roviding poorer quality </w:t>
      </w:r>
      <w:r w:rsidR="0051357B">
        <w:t xml:space="preserve">education </w:t>
      </w:r>
      <w:r w:rsidR="0051357B" w:rsidRPr="003F4753">
        <w:t>(than universities)</w:t>
      </w:r>
      <w:r w:rsidR="00F703DF">
        <w:t>. There was a desire for</w:t>
      </w:r>
      <w:r>
        <w:t xml:space="preserve"> TEQSA </w:t>
      </w:r>
      <w:r w:rsidR="00F703DF">
        <w:t xml:space="preserve">to </w:t>
      </w:r>
      <w:r>
        <w:t>assist in dispelling this perception.</w:t>
      </w:r>
    </w:p>
    <w:p w:rsidR="0051357B" w:rsidRDefault="00D903EB" w:rsidP="00A505D5">
      <w:r>
        <w:t>Generally</w:t>
      </w:r>
      <w:r w:rsidR="0051357B">
        <w:t xml:space="preserve">, </w:t>
      </w:r>
      <w:r>
        <w:t xml:space="preserve">participants </w:t>
      </w:r>
      <w:r w:rsidR="0051357B">
        <w:t>dislike</w:t>
      </w:r>
      <w:r>
        <w:t>d</w:t>
      </w:r>
      <w:r w:rsidR="0051357B">
        <w:t xml:space="preserve"> the “for-profit” categorisation and terminology</w:t>
      </w:r>
      <w:r>
        <w:t xml:space="preserve"> often used to describe </w:t>
      </w:r>
      <w:r w:rsidR="00F703DF">
        <w:t xml:space="preserve">independent </w:t>
      </w:r>
      <w:r>
        <w:t>providers. I</w:t>
      </w:r>
      <w:r w:rsidR="0051357B">
        <w:t xml:space="preserve">t was commented </w:t>
      </w:r>
      <w:r>
        <w:t xml:space="preserve">by some that </w:t>
      </w:r>
      <w:r w:rsidR="0051357B">
        <w:t>profit is not a bad thing, as providers need to make profit to be financially via</w:t>
      </w:r>
      <w:r w:rsidR="000D43E2">
        <w:t>ble, but it is what providers do</w:t>
      </w:r>
      <w:r w:rsidR="0051357B">
        <w:t xml:space="preserve"> with the profit that is important </w:t>
      </w:r>
      <w:r w:rsidR="00687E64">
        <w:t>f</w:t>
      </w:r>
      <w:r w:rsidR="0051357B">
        <w:t xml:space="preserve">or example, re-investing </w:t>
      </w:r>
      <w:r w:rsidR="000D43E2">
        <w:t xml:space="preserve">back </w:t>
      </w:r>
      <w:r w:rsidR="0051357B">
        <w:t>in</w:t>
      </w:r>
      <w:r w:rsidR="000D43E2">
        <w:t>to</w:t>
      </w:r>
      <w:r w:rsidR="0051357B">
        <w:t xml:space="preserve"> the business.</w:t>
      </w:r>
    </w:p>
    <w:p w:rsidR="000D43E2" w:rsidRDefault="000D43E2" w:rsidP="00A505D5">
      <w:r>
        <w:t xml:space="preserve">Similarly, there was broad aversion to the use of ‘non-university higher education provider’ as it was believed this suggests a lack of credibility and defines a part of the sector by what it is not, rather than by placing value in what those providers contribute to the sector. The term </w:t>
      </w:r>
      <w:r w:rsidR="00520857">
        <w:t>‘</w:t>
      </w:r>
      <w:r>
        <w:t>independent providers</w:t>
      </w:r>
      <w:r w:rsidR="00520857">
        <w:t>’</w:t>
      </w:r>
      <w:r>
        <w:t xml:space="preserve"> was generally considered more appropriate for describing </w:t>
      </w:r>
      <w:r w:rsidR="00F703DF">
        <w:t>this group of higher education</w:t>
      </w:r>
      <w:r>
        <w:t xml:space="preserve"> providers.</w:t>
      </w:r>
    </w:p>
    <w:p w:rsidR="00613871" w:rsidRDefault="00D903EB" w:rsidP="00A505D5">
      <w:r>
        <w:t>Overall, p</w:t>
      </w:r>
      <w:r w:rsidR="00B75365" w:rsidRPr="003F4753">
        <w:t>articipants</w:t>
      </w:r>
      <w:r w:rsidR="007F3F2B" w:rsidRPr="003F4753">
        <w:t xml:space="preserve"> </w:t>
      </w:r>
      <w:r>
        <w:t>believed that</w:t>
      </w:r>
      <w:r w:rsidR="007F3F2B" w:rsidRPr="003F4753">
        <w:t xml:space="preserve"> TEQSA </w:t>
      </w:r>
      <w:r>
        <w:t>can</w:t>
      </w:r>
      <w:r w:rsidR="00613871" w:rsidRPr="003F4753">
        <w:t xml:space="preserve"> assist in creating a more equitable view of all providers </w:t>
      </w:r>
      <w:r w:rsidR="007F3F2B" w:rsidRPr="003F4753">
        <w:t xml:space="preserve">by promoting examples of good practice </w:t>
      </w:r>
      <w:r w:rsidR="00067521">
        <w:t>from</w:t>
      </w:r>
      <w:r w:rsidR="007F3F2B" w:rsidRPr="003F4753">
        <w:t xml:space="preserve"> </w:t>
      </w:r>
      <w:r>
        <w:t xml:space="preserve">independent and TAFE </w:t>
      </w:r>
      <w:r w:rsidR="00F703DF">
        <w:t>higher education providers</w:t>
      </w:r>
      <w:r w:rsidR="007F3F2B" w:rsidRPr="003F4753">
        <w:t xml:space="preserve"> and </w:t>
      </w:r>
      <w:r w:rsidR="003F4753" w:rsidRPr="003F4753">
        <w:t xml:space="preserve">continuing to engage </w:t>
      </w:r>
      <w:r w:rsidR="007F3F2B" w:rsidRPr="003F4753">
        <w:t xml:space="preserve">with </w:t>
      </w:r>
      <w:r>
        <w:t xml:space="preserve">these </w:t>
      </w:r>
      <w:r w:rsidR="007F3F2B" w:rsidRPr="003F4753">
        <w:t>providers</w:t>
      </w:r>
      <w:r w:rsidR="00355F76">
        <w:t>,</w:t>
      </w:r>
      <w:r w:rsidR="007F3F2B" w:rsidRPr="003F4753">
        <w:t xml:space="preserve"> </w:t>
      </w:r>
      <w:r w:rsidR="003F4753" w:rsidRPr="003F4753">
        <w:t>guid</w:t>
      </w:r>
      <w:r w:rsidR="00355F76">
        <w:t>ing</w:t>
      </w:r>
      <w:r w:rsidR="003F4753" w:rsidRPr="003F4753">
        <w:t xml:space="preserve"> them to</w:t>
      </w:r>
      <w:r w:rsidR="00120B4D">
        <w:t xml:space="preserve"> not only meet, but exceed the </w:t>
      </w:r>
      <w:r w:rsidR="000D43E2">
        <w:t>Higher Education Standards</w:t>
      </w:r>
      <w:r w:rsidR="00F703DF">
        <w:t xml:space="preserve"> Framework</w:t>
      </w:r>
      <w:r w:rsidR="000D43E2">
        <w:t xml:space="preserve">. </w:t>
      </w:r>
      <w:r w:rsidR="003F4753" w:rsidRPr="003F4753">
        <w:t xml:space="preserve"> </w:t>
      </w:r>
    </w:p>
    <w:p w:rsidR="00380E21" w:rsidRPr="006349D9" w:rsidRDefault="00CB31F8" w:rsidP="00A505D5">
      <w:pPr>
        <w:pStyle w:val="Heading3"/>
        <w:spacing w:line="240" w:lineRule="auto"/>
      </w:pPr>
      <w:r w:rsidRPr="006349D9">
        <w:t>C</w:t>
      </w:r>
      <w:r w:rsidR="00380E21" w:rsidRPr="006349D9">
        <w:t>ase Manager Performance</w:t>
      </w:r>
    </w:p>
    <w:p w:rsidR="00CB31F8" w:rsidRDefault="00CB31F8" w:rsidP="00A505D5">
      <w:r w:rsidRPr="00067521">
        <w:t xml:space="preserve">Participants provided varying accounts of their interactions with Case Managers. </w:t>
      </w:r>
      <w:r w:rsidR="00067521" w:rsidRPr="00067521">
        <w:t xml:space="preserve">Some </w:t>
      </w:r>
      <w:r w:rsidR="00F703DF">
        <w:t>participants</w:t>
      </w:r>
      <w:r w:rsidR="00F703DF" w:rsidRPr="00067521">
        <w:t xml:space="preserve"> </w:t>
      </w:r>
      <w:r w:rsidRPr="00067521">
        <w:t xml:space="preserve">confirmed that their dealings had been </w:t>
      </w:r>
      <w:r w:rsidR="00FD3051" w:rsidRPr="00067521">
        <w:t>extremely</w:t>
      </w:r>
      <w:r w:rsidRPr="00067521">
        <w:t xml:space="preserve"> positive</w:t>
      </w:r>
      <w:r w:rsidR="0014277F" w:rsidRPr="00067521">
        <w:t xml:space="preserve"> </w:t>
      </w:r>
      <w:r w:rsidR="00067521" w:rsidRPr="00067521">
        <w:t>and that they had been able to seek advice and wo</w:t>
      </w:r>
      <w:r w:rsidR="00067521">
        <w:t xml:space="preserve">rk well </w:t>
      </w:r>
      <w:r w:rsidR="000D43E2">
        <w:t xml:space="preserve">in partnership </w:t>
      </w:r>
      <w:r w:rsidR="00067521">
        <w:t>with their Case Manager</w:t>
      </w:r>
      <w:r w:rsidR="00067521" w:rsidRPr="00067521">
        <w:t xml:space="preserve">. However, </w:t>
      </w:r>
      <w:r w:rsidR="00F703DF">
        <w:t xml:space="preserve">other </w:t>
      </w:r>
      <w:r w:rsidR="000D43E2">
        <w:t xml:space="preserve">participants </w:t>
      </w:r>
      <w:r w:rsidRPr="00067521">
        <w:t xml:space="preserve">believed the </w:t>
      </w:r>
      <w:r w:rsidR="0014277F" w:rsidRPr="00067521">
        <w:t xml:space="preserve">communication and </w:t>
      </w:r>
      <w:r w:rsidRPr="00067521">
        <w:t xml:space="preserve">relationship with their Case </w:t>
      </w:r>
      <w:r w:rsidR="0014277F" w:rsidRPr="00067521">
        <w:t xml:space="preserve">Manager </w:t>
      </w:r>
      <w:r w:rsidR="00067521" w:rsidRPr="00067521">
        <w:t>has been hampered by the significant turn-over of TEQSA staff in recent years</w:t>
      </w:r>
      <w:r w:rsidR="00355F76">
        <w:t>,</w:t>
      </w:r>
      <w:r w:rsidR="00067521" w:rsidRPr="00067521">
        <w:t xml:space="preserve"> creating inconsistencies in knowledge and expertis</w:t>
      </w:r>
      <w:r w:rsidR="00154FA9">
        <w:t>e.</w:t>
      </w:r>
      <w:r w:rsidR="00F703DF">
        <w:t xml:space="preserve"> Some</w:t>
      </w:r>
      <w:r w:rsidR="00154FA9">
        <w:t xml:space="preserve"> participants indicated that they were unsure of </w:t>
      </w:r>
      <w:r w:rsidR="00154FA9">
        <w:lastRenderedPageBreak/>
        <w:t xml:space="preserve">who </w:t>
      </w:r>
      <w:r w:rsidR="009254DE">
        <w:t>their current Case Manager was</w:t>
      </w:r>
      <w:r w:rsidR="009E51C7">
        <w:t>,</w:t>
      </w:r>
      <w:r w:rsidR="009254DE">
        <w:t xml:space="preserve"> which does little to build relationships with the Agency.</w:t>
      </w:r>
    </w:p>
    <w:p w:rsidR="0051357B" w:rsidRDefault="0051357B" w:rsidP="00A505D5">
      <w:r>
        <w:t xml:space="preserve">Inconsistency in Case Manager approach was a concern voiced by a number of </w:t>
      </w:r>
      <w:r w:rsidR="009254DE">
        <w:t>participants</w:t>
      </w:r>
      <w:r w:rsidR="00F703DF">
        <w:t>,</w:t>
      </w:r>
      <w:r w:rsidR="009254DE">
        <w:t xml:space="preserve"> and three areas in particular were identified </w:t>
      </w:r>
      <w:r>
        <w:t xml:space="preserve">for </w:t>
      </w:r>
      <w:r w:rsidR="009254DE">
        <w:t xml:space="preserve">further </w:t>
      </w:r>
      <w:r>
        <w:t>consideration with regard to</w:t>
      </w:r>
      <w:r w:rsidR="009254DE">
        <w:t xml:space="preserve"> improving</w:t>
      </w:r>
      <w:r>
        <w:t xml:space="preserve"> </w:t>
      </w:r>
      <w:r w:rsidR="009254DE">
        <w:t>Case M</w:t>
      </w:r>
      <w:r>
        <w:t>anager performance:</w:t>
      </w:r>
    </w:p>
    <w:p w:rsidR="0051357B" w:rsidRDefault="0051357B" w:rsidP="00A505D5">
      <w:pPr>
        <w:pStyle w:val="ListParagraph"/>
        <w:numPr>
          <w:ilvl w:val="0"/>
          <w:numId w:val="21"/>
        </w:numPr>
      </w:pPr>
      <w:r>
        <w:t>Induction</w:t>
      </w:r>
    </w:p>
    <w:p w:rsidR="0051357B" w:rsidRDefault="0051357B" w:rsidP="00A505D5">
      <w:pPr>
        <w:pStyle w:val="ListParagraph"/>
        <w:numPr>
          <w:ilvl w:val="0"/>
          <w:numId w:val="21"/>
        </w:numPr>
      </w:pPr>
      <w:r>
        <w:t>Calibration and consistency of decision making</w:t>
      </w:r>
    </w:p>
    <w:p w:rsidR="0051357B" w:rsidRDefault="0051357B" w:rsidP="00A505D5">
      <w:pPr>
        <w:pStyle w:val="ListParagraph"/>
        <w:numPr>
          <w:ilvl w:val="0"/>
          <w:numId w:val="21"/>
        </w:numPr>
      </w:pPr>
      <w:r>
        <w:t>Monitoring of the performance of case managers</w:t>
      </w:r>
      <w:r w:rsidR="00355F76">
        <w:t>.</w:t>
      </w:r>
    </w:p>
    <w:p w:rsidR="009E51C7" w:rsidRDefault="009E51C7" w:rsidP="00A505D5">
      <w:pPr>
        <w:rPr>
          <w:b/>
        </w:rPr>
      </w:pPr>
    </w:p>
    <w:p w:rsidR="00067521" w:rsidRPr="00067521" w:rsidRDefault="00067521" w:rsidP="00A505D5">
      <w:pPr>
        <w:rPr>
          <w:b/>
        </w:rPr>
      </w:pPr>
      <w:r w:rsidRPr="00067521">
        <w:rPr>
          <w:b/>
        </w:rPr>
        <w:t>Expertise</w:t>
      </w:r>
    </w:p>
    <w:p w:rsidR="006D7FE0" w:rsidRDefault="009254DE" w:rsidP="00A505D5">
      <w:r>
        <w:t xml:space="preserve">Some </w:t>
      </w:r>
      <w:r w:rsidR="00F703DF">
        <w:t xml:space="preserve">participants </w:t>
      </w:r>
      <w:r>
        <w:t xml:space="preserve">believed that </w:t>
      </w:r>
      <w:r w:rsidR="006D7FE0" w:rsidRPr="006D7FE0">
        <w:t xml:space="preserve">TEQSA </w:t>
      </w:r>
      <w:r>
        <w:t>should be</w:t>
      </w:r>
      <w:r w:rsidR="006D7FE0" w:rsidRPr="006D7FE0">
        <w:t xml:space="preserve"> more diverse in its workforce, seeking </w:t>
      </w:r>
      <w:r w:rsidR="00355F76">
        <w:t xml:space="preserve">staff with </w:t>
      </w:r>
      <w:r w:rsidR="006D7FE0" w:rsidRPr="006D7FE0">
        <w:t xml:space="preserve">more </w:t>
      </w:r>
      <w:r w:rsidR="00520857">
        <w:t>a greater e</w:t>
      </w:r>
      <w:r w:rsidR="006D7FE0" w:rsidRPr="006D7FE0">
        <w:t xml:space="preserve">xperience and understanding of the </w:t>
      </w:r>
      <w:r w:rsidR="00355F76">
        <w:t>independent and TAFE</w:t>
      </w:r>
      <w:r w:rsidR="00355F76" w:rsidRPr="006D7FE0">
        <w:t xml:space="preserve"> </w:t>
      </w:r>
      <w:r w:rsidR="006D7FE0" w:rsidRPr="006D7FE0">
        <w:t>higher e</w:t>
      </w:r>
      <w:r>
        <w:t>ducation sector.</w:t>
      </w:r>
      <w:r w:rsidR="006D7FE0" w:rsidRPr="006D7FE0">
        <w:t xml:space="preserve"> </w:t>
      </w:r>
    </w:p>
    <w:p w:rsidR="001A1DB7" w:rsidRDefault="006D7FE0" w:rsidP="00A505D5">
      <w:r>
        <w:t xml:space="preserve">Participants were generally supportive of the Case Management Model but expressed concern at </w:t>
      </w:r>
      <w:r w:rsidR="009E51C7">
        <w:t xml:space="preserve">what they saw as </w:t>
      </w:r>
      <w:r>
        <w:t>the variability of expertise of the Case Managers</w:t>
      </w:r>
      <w:r w:rsidR="002234F3">
        <w:t xml:space="preserve">. Some also noted </w:t>
      </w:r>
      <w:r>
        <w:t xml:space="preserve">that the discontinuity of Case Managers </w:t>
      </w:r>
      <w:r w:rsidR="002234F3" w:rsidRPr="00067521">
        <w:t>ha</w:t>
      </w:r>
      <w:r w:rsidR="002234F3">
        <w:t>d</w:t>
      </w:r>
      <w:r w:rsidR="002234F3" w:rsidRPr="00067521">
        <w:t xml:space="preserve"> </w:t>
      </w:r>
      <w:r>
        <w:t>impacted on the a</w:t>
      </w:r>
      <w:r w:rsidRPr="00067521">
        <w:t>bility to build</w:t>
      </w:r>
      <w:r>
        <w:t xml:space="preserve"> </w:t>
      </w:r>
      <w:r w:rsidRPr="00067521">
        <w:t>relationships</w:t>
      </w:r>
      <w:r>
        <w:t xml:space="preserve"> between TEQSA </w:t>
      </w:r>
      <w:r w:rsidR="00E34698">
        <w:t xml:space="preserve">and </w:t>
      </w:r>
      <w:r w:rsidR="00E34698" w:rsidRPr="00067521">
        <w:t>provider</w:t>
      </w:r>
      <w:r w:rsidRPr="00067521">
        <w:t xml:space="preserve"> contacts</w:t>
      </w:r>
      <w:r>
        <w:t xml:space="preserve">. </w:t>
      </w:r>
      <w:r w:rsidR="001A1DB7">
        <w:t xml:space="preserve">This is consistent with the results of the Stakeholder Survey 2017.  </w:t>
      </w:r>
    </w:p>
    <w:p w:rsidR="00380E21" w:rsidRPr="00067521" w:rsidRDefault="00120B4D" w:rsidP="00A505D5">
      <w:pPr>
        <w:pStyle w:val="Heading4"/>
        <w:spacing w:line="240" w:lineRule="auto"/>
      </w:pPr>
      <w:r>
        <w:t>Engagement</w:t>
      </w:r>
    </w:p>
    <w:p w:rsidR="00C52457" w:rsidRDefault="00520857" w:rsidP="00A505D5">
      <w:r>
        <w:t>There was</w:t>
      </w:r>
      <w:r w:rsidR="0051357B" w:rsidRPr="00120B4D">
        <w:t xml:space="preserve"> strong </w:t>
      </w:r>
      <w:r w:rsidR="0051357B">
        <w:t>commentary</w:t>
      </w:r>
      <w:r w:rsidR="009254DE">
        <w:t xml:space="preserve"> </w:t>
      </w:r>
      <w:r w:rsidR="0051357B" w:rsidRPr="00120B4D">
        <w:t xml:space="preserve">that Case Managers would gain a better understanding of individual providers if they </w:t>
      </w:r>
      <w:r w:rsidR="0051357B">
        <w:t>wo</w:t>
      </w:r>
      <w:r w:rsidR="00C52457">
        <w:t>rked towards a</w:t>
      </w:r>
      <w:r w:rsidR="0051357B">
        <w:t xml:space="preserve"> partnership</w:t>
      </w:r>
      <w:r>
        <w:t xml:space="preserve"> with provider contacts</w:t>
      </w:r>
      <w:r w:rsidR="0051357B">
        <w:t xml:space="preserve">, where communication is strengthened and there is more direct and regular dialogue. </w:t>
      </w:r>
      <w:r w:rsidR="002234F3">
        <w:t xml:space="preserve">Overall, participants were </w:t>
      </w:r>
      <w:r w:rsidR="0051357B">
        <w:t>keen to devel</w:t>
      </w:r>
      <w:r w:rsidR="00C52457">
        <w:t xml:space="preserve">op stronger relationships with </w:t>
      </w:r>
      <w:r w:rsidR="002234F3">
        <w:t xml:space="preserve">their </w:t>
      </w:r>
      <w:r w:rsidR="00C52457">
        <w:t>Case M</w:t>
      </w:r>
      <w:r w:rsidR="0051357B">
        <w:t>anagers</w:t>
      </w:r>
      <w:r w:rsidR="002234F3">
        <w:t>, with some calling for Case Managers to take part in</w:t>
      </w:r>
      <w:r w:rsidR="00C52457">
        <w:t xml:space="preserve"> regular </w:t>
      </w:r>
      <w:r w:rsidR="002234F3">
        <w:t xml:space="preserve">site </w:t>
      </w:r>
      <w:r w:rsidR="00C52457">
        <w:t xml:space="preserve">visits, </w:t>
      </w:r>
      <w:r w:rsidR="009E51C7">
        <w:t xml:space="preserve">and </w:t>
      </w:r>
      <w:r w:rsidR="0051357B">
        <w:t>attend provider</w:t>
      </w:r>
      <w:r w:rsidR="00C52457">
        <w:t xml:space="preserve"> events and TEQSA </w:t>
      </w:r>
      <w:r w:rsidR="0051357B">
        <w:t>provider forums.</w:t>
      </w:r>
    </w:p>
    <w:p w:rsidR="0051357B" w:rsidRDefault="0051357B" w:rsidP="00A505D5">
      <w:pPr>
        <w:pStyle w:val="Heading3"/>
        <w:spacing w:line="240" w:lineRule="auto"/>
      </w:pPr>
      <w:r>
        <w:lastRenderedPageBreak/>
        <w:t>Agency Performance and Timeliness of Decision Making</w:t>
      </w:r>
    </w:p>
    <w:p w:rsidR="007E43D0" w:rsidRDefault="00DC222F" w:rsidP="00A505D5">
      <w:r>
        <w:t>Some p</w:t>
      </w:r>
      <w:r w:rsidR="007E43D0">
        <w:t>articipants</w:t>
      </w:r>
      <w:r w:rsidR="0051357B">
        <w:t xml:space="preserve"> were concerned </w:t>
      </w:r>
      <w:r w:rsidR="003F6CF7">
        <w:t xml:space="preserve">about the time </w:t>
      </w:r>
      <w:r w:rsidR="00355F76">
        <w:t>TEQSA</w:t>
      </w:r>
      <w:r w:rsidR="003F6CF7">
        <w:t xml:space="preserve"> can take to reach a regulatory decision</w:t>
      </w:r>
      <w:r w:rsidR="00520857">
        <w:t xml:space="preserve">, particularly </w:t>
      </w:r>
      <w:r w:rsidR="007E43D0">
        <w:t xml:space="preserve">for decisions around revoking conditions, which are in the public domain and may impact on a provider’s ability to attract students. </w:t>
      </w:r>
    </w:p>
    <w:p w:rsidR="007E43D0" w:rsidRDefault="00520857" w:rsidP="00A505D5">
      <w:r>
        <w:t xml:space="preserve">Other </w:t>
      </w:r>
      <w:r w:rsidR="007E43D0">
        <w:t xml:space="preserve">participants noted that in many cases they are given a fixed period of time to respond to requests, but </w:t>
      </w:r>
      <w:r w:rsidR="00D57755">
        <w:t xml:space="preserve">felt that </w:t>
      </w:r>
      <w:r w:rsidR="007E43D0">
        <w:t>TEQSA does not hold itself to the same standards</w:t>
      </w:r>
      <w:r w:rsidR="00D57755">
        <w:t>.</w:t>
      </w:r>
    </w:p>
    <w:p w:rsidR="0051357B" w:rsidRPr="00DD2EFA" w:rsidRDefault="007E43D0" w:rsidP="00A505D5">
      <w:r>
        <w:t>Overall</w:t>
      </w:r>
      <w:r w:rsidR="00D57755">
        <w:t>,</w:t>
      </w:r>
      <w:r>
        <w:t xml:space="preserve"> participants indicated that </w:t>
      </w:r>
      <w:r w:rsidR="00D57755">
        <w:t xml:space="preserve">the </w:t>
      </w:r>
      <w:r w:rsidR="00520857">
        <w:t>A</w:t>
      </w:r>
      <w:r w:rsidR="00D57755">
        <w:t xml:space="preserve">gency </w:t>
      </w:r>
      <w:r>
        <w:t>should reflect the same behaviours it expects from pro</w:t>
      </w:r>
      <w:r w:rsidR="00520857">
        <w:t xml:space="preserve">viders with some participants suggesting </w:t>
      </w:r>
      <w:r w:rsidR="007311DF">
        <w:t>that p</w:t>
      </w:r>
      <w:r w:rsidR="0051357B">
        <w:t>erformance indicators be</w:t>
      </w:r>
      <w:r w:rsidR="00520857">
        <w:t xml:space="preserve"> </w:t>
      </w:r>
      <w:r w:rsidR="0051357B">
        <w:t>considered</w:t>
      </w:r>
      <w:r>
        <w:t xml:space="preserve">, and </w:t>
      </w:r>
      <w:r w:rsidR="00520857">
        <w:t xml:space="preserve">others indicating </w:t>
      </w:r>
      <w:r>
        <w:t xml:space="preserve">that </w:t>
      </w:r>
      <w:r w:rsidR="004767BB">
        <w:t xml:space="preserve">TEQSA </w:t>
      </w:r>
      <w:r>
        <w:t xml:space="preserve">needs to be more responsive to the sector in general. </w:t>
      </w:r>
    </w:p>
    <w:p w:rsidR="00380E21" w:rsidRPr="00D54D9B" w:rsidRDefault="00380E21" w:rsidP="00A505D5">
      <w:pPr>
        <w:pStyle w:val="Heading3"/>
        <w:spacing w:line="240" w:lineRule="auto"/>
      </w:pPr>
      <w:r w:rsidRPr="00D54D9B">
        <w:t xml:space="preserve">Risk </w:t>
      </w:r>
      <w:r w:rsidR="006349D9" w:rsidRPr="00D54D9B">
        <w:t>and Data</w:t>
      </w:r>
    </w:p>
    <w:p w:rsidR="00C7165D" w:rsidRDefault="000E6C9D" w:rsidP="00A505D5">
      <w:r>
        <w:t xml:space="preserve">Many participants expressed the view that </w:t>
      </w:r>
      <w:r w:rsidR="00D54D9B" w:rsidRPr="00D54D9B">
        <w:t>TEQSA needs to take into account indivi</w:t>
      </w:r>
      <w:r w:rsidR="00D54D9B">
        <w:t>dual provider contexts</w:t>
      </w:r>
      <w:r w:rsidR="00C7165D">
        <w:t xml:space="preserve"> when defining risk. A</w:t>
      </w:r>
      <w:r w:rsidR="00D54D9B">
        <w:t xml:space="preserve"> one-</w:t>
      </w:r>
      <w:r w:rsidR="00D54D9B" w:rsidRPr="00D54D9B">
        <w:t>size fits all a</w:t>
      </w:r>
      <w:r w:rsidR="002A539D">
        <w:t xml:space="preserve">pproach does not </w:t>
      </w:r>
      <w:r w:rsidR="00D54D9B" w:rsidRPr="00D54D9B">
        <w:t>work</w:t>
      </w:r>
      <w:r w:rsidR="004767BB">
        <w:t>,</w:t>
      </w:r>
      <w:r w:rsidR="00C7165D">
        <w:t xml:space="preserve"> as s</w:t>
      </w:r>
      <w:r w:rsidR="00D54D9B">
        <w:t>mall or specialist providers, particularly in areas such as the us</w:t>
      </w:r>
      <w:r w:rsidR="00C7165D">
        <w:t xml:space="preserve">e of casual and sessional staff, </w:t>
      </w:r>
      <w:r w:rsidR="00D54D9B">
        <w:t>calculating attrition</w:t>
      </w:r>
      <w:r w:rsidR="00C7165D">
        <w:t xml:space="preserve"> and financial sustainability and viability</w:t>
      </w:r>
      <w:r w:rsidR="00D54D9B">
        <w:t xml:space="preserve">, </w:t>
      </w:r>
      <w:r w:rsidR="002A539D">
        <w:t xml:space="preserve">may be at a </w:t>
      </w:r>
      <w:r w:rsidR="00C7165D">
        <w:t>disadvantage</w:t>
      </w:r>
      <w:r w:rsidR="002A539D">
        <w:t xml:space="preserve"> as statistics do not always accurately reflect reality.</w:t>
      </w:r>
      <w:r w:rsidR="00C7165D">
        <w:t xml:space="preserve"> The lag in the data being used in Risk Assessments may also not be an accurate reflection of what is occurring at the provider at the time TEQSA is making a decision. </w:t>
      </w:r>
      <w:r w:rsidR="002A539D">
        <w:t xml:space="preserve"> </w:t>
      </w:r>
    </w:p>
    <w:p w:rsidR="00D54D9B" w:rsidRDefault="00D54D9B" w:rsidP="00A505D5">
      <w:r>
        <w:t>There was</w:t>
      </w:r>
      <w:r w:rsidR="007C320A">
        <w:t xml:space="preserve"> </w:t>
      </w:r>
      <w:r>
        <w:t>support for the Risk Assessment Framework and the process</w:t>
      </w:r>
      <w:r w:rsidR="004767BB">
        <w:t>.</w:t>
      </w:r>
      <w:r w:rsidR="000E6C9D">
        <w:t xml:space="preserve"> </w:t>
      </w:r>
      <w:r w:rsidR="004767BB">
        <w:t>H</w:t>
      </w:r>
      <w:r>
        <w:t>owever</w:t>
      </w:r>
      <w:r w:rsidR="00355F76">
        <w:t>,</w:t>
      </w:r>
      <w:r>
        <w:t xml:space="preserve"> </w:t>
      </w:r>
      <w:r w:rsidR="000E6C9D">
        <w:t>many participants believed</w:t>
      </w:r>
      <w:r>
        <w:t xml:space="preserve"> that more </w:t>
      </w:r>
      <w:r w:rsidR="002A539D">
        <w:t xml:space="preserve">communication and greater </w:t>
      </w:r>
      <w:r>
        <w:t>transparency of</w:t>
      </w:r>
      <w:r w:rsidR="000E6C9D">
        <w:t xml:space="preserve"> the</w:t>
      </w:r>
      <w:r>
        <w:t xml:space="preserve"> TEQSA</w:t>
      </w:r>
      <w:r w:rsidR="00E93CD0">
        <w:t xml:space="preserve"> thresholds was required</w:t>
      </w:r>
      <w:r w:rsidR="007C320A">
        <w:t xml:space="preserve"> to ensure</w:t>
      </w:r>
      <w:r w:rsidR="00355F76">
        <w:t xml:space="preserve"> all</w:t>
      </w:r>
      <w:r w:rsidR="007C320A">
        <w:t xml:space="preserve"> providers understand how they are being assessed</w:t>
      </w:r>
      <w:r w:rsidR="004767BB">
        <w:t>,</w:t>
      </w:r>
      <w:r w:rsidR="007C320A">
        <w:t xml:space="preserve"> and can use the information for benchmarking activities</w:t>
      </w:r>
      <w:r w:rsidR="00E93CD0">
        <w:t>.</w:t>
      </w:r>
    </w:p>
    <w:p w:rsidR="006349D9" w:rsidRPr="006349D9" w:rsidRDefault="006349D9" w:rsidP="00A505D5">
      <w:pPr>
        <w:pStyle w:val="Heading3"/>
        <w:spacing w:line="240" w:lineRule="auto"/>
      </w:pPr>
      <w:r>
        <w:lastRenderedPageBreak/>
        <w:t>TEQSA’s Role in Quality Enhancement</w:t>
      </w:r>
    </w:p>
    <w:p w:rsidR="002A539D" w:rsidRDefault="002A539D" w:rsidP="00A505D5">
      <w:r>
        <w:t xml:space="preserve">There was strong </w:t>
      </w:r>
      <w:r w:rsidR="00A01A17">
        <w:t xml:space="preserve">support for </w:t>
      </w:r>
      <w:r w:rsidR="006D7FE0" w:rsidRPr="006D7FE0">
        <w:t xml:space="preserve">TEQSA </w:t>
      </w:r>
      <w:r w:rsidR="00A01A17">
        <w:t>adopting a greater</w:t>
      </w:r>
      <w:r>
        <w:t xml:space="preserve"> focus on quality</w:t>
      </w:r>
      <w:r w:rsidR="004767BB">
        <w:t xml:space="preserve"> enhancement</w:t>
      </w:r>
      <w:r>
        <w:t xml:space="preserve"> and play</w:t>
      </w:r>
      <w:r w:rsidR="00A01A17">
        <w:t>ing</w:t>
      </w:r>
      <w:r>
        <w:t xml:space="preserve"> a larger role in</w:t>
      </w:r>
      <w:r w:rsidR="00A01A17">
        <w:t xml:space="preserve"> </w:t>
      </w:r>
      <w:r w:rsidR="004767BB">
        <w:t>helping</w:t>
      </w:r>
      <w:r>
        <w:t xml:space="preserve"> the sector</w:t>
      </w:r>
      <w:r w:rsidR="00F82742">
        <w:t xml:space="preserve"> exceed the threshold standards of</w:t>
      </w:r>
      <w:r w:rsidR="00C65B0D">
        <w:t xml:space="preserve"> </w:t>
      </w:r>
      <w:r w:rsidR="00F82742">
        <w:t>the Higher Education Standards Framework</w:t>
      </w:r>
      <w:r>
        <w:t>.</w:t>
      </w:r>
    </w:p>
    <w:p w:rsidR="00A01A17" w:rsidRDefault="00A01A17" w:rsidP="00A505D5">
      <w:r>
        <w:t>Some p</w:t>
      </w:r>
      <w:r w:rsidR="002A539D">
        <w:t xml:space="preserve">articipants expressed </w:t>
      </w:r>
      <w:r w:rsidR="00F82742">
        <w:t xml:space="preserve">a </w:t>
      </w:r>
      <w:r>
        <w:t xml:space="preserve">view that </w:t>
      </w:r>
      <w:r w:rsidR="002A539D">
        <w:t xml:space="preserve">TEQSA </w:t>
      </w:r>
      <w:r w:rsidR="00F82742">
        <w:t xml:space="preserve">can </w:t>
      </w:r>
      <w:r w:rsidR="006D7FE0" w:rsidRPr="006D7FE0">
        <w:t xml:space="preserve">behave </w:t>
      </w:r>
      <w:r w:rsidR="00F82742">
        <w:t>“</w:t>
      </w:r>
      <w:r w:rsidR="006D7FE0" w:rsidRPr="006D7FE0">
        <w:t>like a bully</w:t>
      </w:r>
      <w:r w:rsidR="005F16C4">
        <w:t>”</w:t>
      </w:r>
      <w:r w:rsidR="006D7FE0" w:rsidRPr="006D7FE0">
        <w:t xml:space="preserve">, </w:t>
      </w:r>
      <w:r w:rsidR="009E51C7">
        <w:t xml:space="preserve">and </w:t>
      </w:r>
      <w:r w:rsidR="002A539D">
        <w:t xml:space="preserve">that the agency’s approach is </w:t>
      </w:r>
      <w:r w:rsidR="005F16C4">
        <w:t>“</w:t>
      </w:r>
      <w:r w:rsidR="002A539D">
        <w:t>not to help, only to regulate</w:t>
      </w:r>
      <w:r>
        <w:t>”. There was also a suggestion that</w:t>
      </w:r>
      <w:r w:rsidR="002A539D">
        <w:t xml:space="preserve"> Case Managers sometimes act more like </w:t>
      </w:r>
      <w:r w:rsidR="005F16C4">
        <w:t>“</w:t>
      </w:r>
      <w:r w:rsidR="002A539D">
        <w:t>Case Prosecutors</w:t>
      </w:r>
      <w:r w:rsidR="005F16C4">
        <w:t>”</w:t>
      </w:r>
      <w:r w:rsidR="002A539D">
        <w:t xml:space="preserve">. </w:t>
      </w:r>
    </w:p>
    <w:p w:rsidR="002A539D" w:rsidRDefault="00A01A17" w:rsidP="00A505D5">
      <w:r>
        <w:t xml:space="preserve">Generally, participants believed that </w:t>
      </w:r>
      <w:r w:rsidR="002A539D">
        <w:t>a</w:t>
      </w:r>
      <w:r w:rsidR="00E93CD0">
        <w:t xml:space="preserve"> more collaborative approach, </w:t>
      </w:r>
      <w:r>
        <w:t xml:space="preserve">where TEQSA </w:t>
      </w:r>
      <w:r w:rsidR="00E93CD0">
        <w:t>work</w:t>
      </w:r>
      <w:r>
        <w:t>ed</w:t>
      </w:r>
      <w:r w:rsidR="00E93CD0">
        <w:t xml:space="preserve"> in</w:t>
      </w:r>
      <w:r w:rsidR="002A539D">
        <w:t xml:space="preserve"> partnership</w:t>
      </w:r>
      <w:r w:rsidR="00E93CD0">
        <w:t xml:space="preserve"> with providers</w:t>
      </w:r>
      <w:r>
        <w:t>,</w:t>
      </w:r>
      <w:r w:rsidR="00E93CD0">
        <w:t xml:space="preserve"> </w:t>
      </w:r>
      <w:r w:rsidR="002A539D">
        <w:t>would be more effective</w:t>
      </w:r>
      <w:r w:rsidR="00E93CD0">
        <w:t xml:space="preserve"> in enhancing quality</w:t>
      </w:r>
      <w:r w:rsidR="002A539D">
        <w:t xml:space="preserve">.  </w:t>
      </w:r>
    </w:p>
    <w:p w:rsidR="006349D9" w:rsidRDefault="002A539D" w:rsidP="00A505D5">
      <w:r w:rsidRPr="002A539D">
        <w:t xml:space="preserve">There was </w:t>
      </w:r>
      <w:r w:rsidR="005F1AD4">
        <w:t xml:space="preserve">very </w:t>
      </w:r>
      <w:r w:rsidRPr="002A539D">
        <w:t xml:space="preserve">strong support for TEQSA’s </w:t>
      </w:r>
      <w:r w:rsidR="005F16C4">
        <w:t>g</w:t>
      </w:r>
      <w:r w:rsidRPr="002A539D">
        <w:t xml:space="preserve">ood </w:t>
      </w:r>
      <w:r w:rsidR="005F16C4">
        <w:t>p</w:t>
      </w:r>
      <w:r w:rsidRPr="002A539D">
        <w:t xml:space="preserve">ractice </w:t>
      </w:r>
      <w:r w:rsidR="00F82742">
        <w:t>note</w:t>
      </w:r>
      <w:r w:rsidR="00F82742" w:rsidRPr="002A539D">
        <w:t xml:space="preserve"> </w:t>
      </w:r>
      <w:r w:rsidRPr="002A539D">
        <w:t xml:space="preserve">on contract cheating and </w:t>
      </w:r>
      <w:r w:rsidR="005F1AD4">
        <w:t xml:space="preserve">a desire that </w:t>
      </w:r>
      <w:r w:rsidRPr="002A539D">
        <w:t>more examples of best practice</w:t>
      </w:r>
      <w:r w:rsidR="005F1AD4">
        <w:t xml:space="preserve"> be </w:t>
      </w:r>
      <w:r w:rsidRPr="002A539D">
        <w:t xml:space="preserve">published for other providers to learn from.  </w:t>
      </w:r>
    </w:p>
    <w:p w:rsidR="00E93CD0" w:rsidRDefault="00E93CD0" w:rsidP="00A505D5">
      <w:pPr>
        <w:rPr>
          <w:rFonts w:asciiTheme="majorHAnsi" w:eastAsiaTheme="majorEastAsia" w:hAnsiTheme="majorHAnsi" w:cstheme="majorBidi"/>
          <w:color w:val="00A398"/>
          <w:sz w:val="32"/>
          <w:szCs w:val="24"/>
        </w:rPr>
      </w:pPr>
    </w:p>
    <w:p w:rsidR="006349D9" w:rsidRDefault="008621B5" w:rsidP="00A505D5">
      <w:pPr>
        <w:rPr>
          <w:rFonts w:asciiTheme="majorHAnsi" w:eastAsiaTheme="majorEastAsia" w:hAnsiTheme="majorHAnsi" w:cstheme="majorBidi"/>
          <w:color w:val="00A398"/>
          <w:sz w:val="32"/>
          <w:szCs w:val="24"/>
        </w:rPr>
      </w:pPr>
      <w:r>
        <w:rPr>
          <w:rFonts w:asciiTheme="majorHAnsi" w:eastAsiaTheme="majorEastAsia" w:hAnsiTheme="majorHAnsi" w:cstheme="majorBidi"/>
          <w:color w:val="00A398"/>
          <w:sz w:val="32"/>
          <w:szCs w:val="24"/>
        </w:rPr>
        <w:t xml:space="preserve">External </w:t>
      </w:r>
      <w:r w:rsidR="006349D9" w:rsidRPr="006349D9">
        <w:rPr>
          <w:rFonts w:asciiTheme="majorHAnsi" w:eastAsiaTheme="majorEastAsia" w:hAnsiTheme="majorHAnsi" w:cstheme="majorBidi"/>
          <w:color w:val="00A398"/>
          <w:sz w:val="32"/>
          <w:szCs w:val="24"/>
        </w:rPr>
        <w:t>Experts</w:t>
      </w:r>
    </w:p>
    <w:p w:rsidR="006349D9" w:rsidRDefault="002C5B3C" w:rsidP="00A505D5">
      <w:r>
        <w:t>Many p</w:t>
      </w:r>
      <w:r w:rsidR="00E93CD0">
        <w:t xml:space="preserve">articipants felt that the TEQSA Register of Experts would benefit from more private sector experience and that all </w:t>
      </w:r>
      <w:r w:rsidR="00F82742">
        <w:t>e</w:t>
      </w:r>
      <w:r w:rsidR="00E93CD0">
        <w:t xml:space="preserve">xperts should undergo training to ensure they have an appropriate level of knowledge and understanding of the </w:t>
      </w:r>
      <w:r w:rsidR="005F16C4">
        <w:t>Higher Education Standards Framework</w:t>
      </w:r>
      <w:r w:rsidR="00F82742">
        <w:t>,</w:t>
      </w:r>
      <w:r w:rsidR="00E93CD0">
        <w:t xml:space="preserve"> as well as up to date experience in a modern teaching environment.</w:t>
      </w:r>
    </w:p>
    <w:p w:rsidR="00C7165D" w:rsidRDefault="00C7165D" w:rsidP="00A505D5"/>
    <w:p w:rsidR="00C7165D" w:rsidRDefault="00C7165D" w:rsidP="00A505D5">
      <w:pPr>
        <w:rPr>
          <w:rFonts w:asciiTheme="majorHAnsi" w:eastAsiaTheme="majorEastAsia" w:hAnsiTheme="majorHAnsi" w:cstheme="majorBidi"/>
          <w:color w:val="00A398"/>
          <w:sz w:val="32"/>
          <w:szCs w:val="24"/>
        </w:rPr>
      </w:pPr>
      <w:r>
        <w:rPr>
          <w:rFonts w:asciiTheme="majorHAnsi" w:eastAsiaTheme="majorEastAsia" w:hAnsiTheme="majorHAnsi" w:cstheme="majorBidi"/>
          <w:color w:val="00A398"/>
          <w:sz w:val="32"/>
          <w:szCs w:val="24"/>
        </w:rPr>
        <w:t>Other Issues Raised</w:t>
      </w:r>
    </w:p>
    <w:p w:rsidR="005F16C4" w:rsidRDefault="005F16C4" w:rsidP="00A505D5">
      <w:r>
        <w:t xml:space="preserve">The following issues were also raised </w:t>
      </w:r>
      <w:r w:rsidR="002C5B3C">
        <w:t xml:space="preserve">by participants </w:t>
      </w:r>
      <w:r>
        <w:t>during the small group sessions:</w:t>
      </w:r>
    </w:p>
    <w:p w:rsidR="004F3F27" w:rsidRDefault="002C5B3C" w:rsidP="00A505D5">
      <w:pPr>
        <w:pStyle w:val="ListParagraph"/>
        <w:numPr>
          <w:ilvl w:val="0"/>
          <w:numId w:val="21"/>
        </w:numPr>
      </w:pPr>
      <w:r>
        <w:t>Ensuring g</w:t>
      </w:r>
      <w:r w:rsidR="00C7165D">
        <w:t xml:space="preserve">uidance material from TEQSA and ASQA is </w:t>
      </w:r>
      <w:r>
        <w:t>not contradictory to assist dual sector providers who must meet requirements of both regulators</w:t>
      </w:r>
      <w:r w:rsidR="00F82742">
        <w:t>.</w:t>
      </w:r>
      <w:r>
        <w:t xml:space="preserve"> </w:t>
      </w:r>
    </w:p>
    <w:p w:rsidR="00C7165D" w:rsidRDefault="004F3F27" w:rsidP="00A505D5">
      <w:pPr>
        <w:pStyle w:val="ListParagraph"/>
        <w:numPr>
          <w:ilvl w:val="0"/>
          <w:numId w:val="21"/>
        </w:numPr>
      </w:pPr>
      <w:r>
        <w:lastRenderedPageBreak/>
        <w:t>C</w:t>
      </w:r>
      <w:r w:rsidR="002C5B3C">
        <w:t xml:space="preserve">ontinue to look for opportunities for cohesion between TEQSA, other regulators and professional accreditation bodies. </w:t>
      </w:r>
      <w:r w:rsidR="00C7165D">
        <w:t xml:space="preserve"> </w:t>
      </w:r>
    </w:p>
    <w:p w:rsidR="00131CDE" w:rsidRDefault="002C5B3C" w:rsidP="00A505D5">
      <w:pPr>
        <w:pStyle w:val="ListParagraph"/>
        <w:numPr>
          <w:ilvl w:val="0"/>
          <w:numId w:val="21"/>
        </w:numPr>
      </w:pPr>
      <w:r>
        <w:t xml:space="preserve">Consider the way condition information is displayed on the National Register to ensure it is not misleading, particularly for those providers who have a reliance on the international student market. </w:t>
      </w:r>
      <w:r w:rsidR="00131CDE">
        <w:t xml:space="preserve"> </w:t>
      </w:r>
    </w:p>
    <w:p w:rsidR="00131CDE" w:rsidRDefault="002C5B3C" w:rsidP="00A505D5">
      <w:pPr>
        <w:pStyle w:val="ListParagraph"/>
        <w:numPr>
          <w:ilvl w:val="0"/>
          <w:numId w:val="21"/>
        </w:numPr>
      </w:pPr>
      <w:r>
        <w:t xml:space="preserve">The perception that </w:t>
      </w:r>
      <w:r w:rsidR="00131CDE">
        <w:t xml:space="preserve">independent and TAFE </w:t>
      </w:r>
      <w:r w:rsidR="00607B3B">
        <w:t xml:space="preserve">higher education </w:t>
      </w:r>
      <w:r w:rsidR="00131CDE">
        <w:t xml:space="preserve">providers have been tarnished by what occurred in the VET sector regarding </w:t>
      </w:r>
      <w:r w:rsidR="005F16C4">
        <w:t xml:space="preserve">VET </w:t>
      </w:r>
      <w:r w:rsidR="00131CDE">
        <w:t>F</w:t>
      </w:r>
      <w:r w:rsidR="005F16C4">
        <w:t>EE</w:t>
      </w:r>
      <w:r w:rsidR="00131CDE">
        <w:t>-</w:t>
      </w:r>
      <w:r w:rsidR="005F16C4">
        <w:t>HELP</w:t>
      </w:r>
      <w:r w:rsidR="00131CDE">
        <w:t xml:space="preserve">. </w:t>
      </w:r>
    </w:p>
    <w:p w:rsidR="00131CDE" w:rsidRDefault="00131CDE" w:rsidP="00A505D5">
      <w:pPr>
        <w:pStyle w:val="ListParagraph"/>
        <w:numPr>
          <w:ilvl w:val="0"/>
          <w:numId w:val="21"/>
        </w:numPr>
      </w:pPr>
      <w:r>
        <w:t xml:space="preserve">The types of information TEQSA requests as part of a course accreditation application </w:t>
      </w:r>
      <w:r w:rsidR="005F16C4">
        <w:t xml:space="preserve">can be </w:t>
      </w:r>
      <w:r>
        <w:t xml:space="preserve">vast and cumbersome. </w:t>
      </w:r>
    </w:p>
    <w:p w:rsidR="007C320A" w:rsidRDefault="002C5B3C" w:rsidP="00A505D5">
      <w:pPr>
        <w:pStyle w:val="ListParagraph"/>
        <w:numPr>
          <w:ilvl w:val="0"/>
          <w:numId w:val="21"/>
        </w:numPr>
      </w:pPr>
      <w:r>
        <w:t xml:space="preserve">Greater </w:t>
      </w:r>
      <w:r w:rsidR="007C320A">
        <w:t>transparency around TEQSA’s decision making</w:t>
      </w:r>
      <w:r>
        <w:t xml:space="preserve"> processes</w:t>
      </w:r>
      <w:r w:rsidR="007C320A">
        <w:t xml:space="preserve"> and the judgements being made when setting evidence requirements for accreditation processes.</w:t>
      </w:r>
    </w:p>
    <w:p w:rsidR="007C320A" w:rsidRDefault="002C5B3C" w:rsidP="00A505D5">
      <w:pPr>
        <w:pStyle w:val="ListParagraph"/>
        <w:numPr>
          <w:ilvl w:val="0"/>
          <w:numId w:val="21"/>
        </w:numPr>
      </w:pPr>
      <w:r>
        <w:t>Greater collaborati</w:t>
      </w:r>
      <w:r w:rsidR="00C65B0D">
        <w:t>on</w:t>
      </w:r>
      <w:r>
        <w:t xml:space="preserve"> between TEQSA and </w:t>
      </w:r>
      <w:r w:rsidR="007C320A">
        <w:t xml:space="preserve">providers to engage students in the private sector. </w:t>
      </w:r>
    </w:p>
    <w:p w:rsidR="007C320A" w:rsidRDefault="002C5B3C" w:rsidP="00A505D5">
      <w:pPr>
        <w:pStyle w:val="ListParagraph"/>
        <w:numPr>
          <w:ilvl w:val="0"/>
          <w:numId w:val="21"/>
        </w:numPr>
      </w:pPr>
      <w:r>
        <w:t xml:space="preserve">Improving communication between TEQSA and providers with an aim to reduce adversarial and legal action. </w:t>
      </w:r>
      <w:r w:rsidR="007C320A">
        <w:t xml:space="preserve"> </w:t>
      </w:r>
    </w:p>
    <w:p w:rsidR="00920968" w:rsidRDefault="00920968" w:rsidP="00A505D5">
      <w:pPr>
        <w:rPr>
          <w:rFonts w:asciiTheme="majorHAnsi" w:eastAsiaTheme="majorEastAsia" w:hAnsiTheme="majorHAnsi" w:cstheme="majorBidi"/>
          <w:color w:val="00A398"/>
          <w:sz w:val="44"/>
          <w:szCs w:val="26"/>
        </w:rPr>
      </w:pPr>
      <w:r>
        <w:br w:type="page"/>
      </w:r>
    </w:p>
    <w:p w:rsidR="00CB31F8" w:rsidRPr="006349D9" w:rsidRDefault="009379AD" w:rsidP="00A505D5">
      <w:pPr>
        <w:pStyle w:val="Heading2"/>
        <w:spacing w:line="240" w:lineRule="auto"/>
      </w:pPr>
      <w:r>
        <w:lastRenderedPageBreak/>
        <w:t>Next Steps</w:t>
      </w:r>
    </w:p>
    <w:p w:rsidR="001A1AB1" w:rsidRDefault="002C5B3C" w:rsidP="00A505D5">
      <w:pPr>
        <w:rPr>
          <w:rFonts w:asciiTheme="majorHAnsi" w:hAnsiTheme="majorHAnsi"/>
          <w:color w:val="00A398"/>
        </w:rPr>
      </w:pPr>
      <w:r>
        <w:rPr>
          <w:rFonts w:asciiTheme="majorHAnsi" w:hAnsiTheme="majorHAnsi"/>
          <w:color w:val="00A398"/>
        </w:rPr>
        <w:t>An improvement p</w:t>
      </w:r>
      <w:r w:rsidR="001A1AB1">
        <w:rPr>
          <w:rFonts w:asciiTheme="majorHAnsi" w:hAnsiTheme="majorHAnsi"/>
          <w:color w:val="00A398"/>
        </w:rPr>
        <w:t xml:space="preserve">lan will be developed, in consultation with TEQSA’s Senior Management Team and Case Managers, to implement actions to improve </w:t>
      </w:r>
      <w:r w:rsidR="00607B3B">
        <w:rPr>
          <w:rFonts w:asciiTheme="majorHAnsi" w:hAnsiTheme="majorHAnsi"/>
          <w:color w:val="00A398"/>
        </w:rPr>
        <w:t xml:space="preserve">the </w:t>
      </w:r>
      <w:r w:rsidR="00C65B0D">
        <w:rPr>
          <w:rFonts w:asciiTheme="majorHAnsi" w:hAnsiTheme="majorHAnsi"/>
          <w:color w:val="00A398"/>
        </w:rPr>
        <w:t>A</w:t>
      </w:r>
      <w:r w:rsidR="00607B3B">
        <w:rPr>
          <w:rFonts w:asciiTheme="majorHAnsi" w:hAnsiTheme="majorHAnsi"/>
          <w:color w:val="00A398"/>
        </w:rPr>
        <w:t xml:space="preserve">gency’s </w:t>
      </w:r>
      <w:r w:rsidR="001A1AB1">
        <w:rPr>
          <w:rFonts w:asciiTheme="majorHAnsi" w:hAnsiTheme="majorHAnsi"/>
          <w:color w:val="00A398"/>
        </w:rPr>
        <w:t xml:space="preserve">engagement with independent and TAFE </w:t>
      </w:r>
      <w:r w:rsidR="00607B3B">
        <w:rPr>
          <w:rFonts w:asciiTheme="majorHAnsi" w:hAnsiTheme="majorHAnsi"/>
          <w:color w:val="00A398"/>
        </w:rPr>
        <w:t xml:space="preserve">higher education </w:t>
      </w:r>
      <w:r w:rsidR="001A1AB1">
        <w:rPr>
          <w:rFonts w:asciiTheme="majorHAnsi" w:hAnsiTheme="majorHAnsi"/>
          <w:color w:val="00A398"/>
        </w:rPr>
        <w:t xml:space="preserve">providers.  </w:t>
      </w:r>
    </w:p>
    <w:p w:rsidR="00B761E6" w:rsidRPr="006349D9" w:rsidRDefault="001A1AB1" w:rsidP="00A505D5">
      <w:pPr>
        <w:rPr>
          <w:rFonts w:asciiTheme="majorHAnsi" w:hAnsiTheme="majorHAnsi"/>
          <w:color w:val="00A398"/>
        </w:rPr>
      </w:pPr>
      <w:r>
        <w:rPr>
          <w:rFonts w:asciiTheme="majorHAnsi" w:hAnsiTheme="majorHAnsi"/>
          <w:color w:val="00A398"/>
        </w:rPr>
        <w:t>The following questions, based on the feedback r</w:t>
      </w:r>
      <w:r w:rsidR="00C65B0D">
        <w:rPr>
          <w:rFonts w:asciiTheme="majorHAnsi" w:hAnsiTheme="majorHAnsi"/>
          <w:color w:val="00A398"/>
        </w:rPr>
        <w:t>eceived from participants of the</w:t>
      </w:r>
      <w:r>
        <w:rPr>
          <w:rFonts w:asciiTheme="majorHAnsi" w:hAnsiTheme="majorHAnsi"/>
          <w:color w:val="00A398"/>
        </w:rPr>
        <w:t>s</w:t>
      </w:r>
      <w:r w:rsidR="00C65B0D">
        <w:rPr>
          <w:rFonts w:asciiTheme="majorHAnsi" w:hAnsiTheme="majorHAnsi"/>
          <w:color w:val="00A398"/>
        </w:rPr>
        <w:t>e</w:t>
      </w:r>
      <w:r>
        <w:rPr>
          <w:rFonts w:asciiTheme="majorHAnsi" w:hAnsiTheme="majorHAnsi"/>
          <w:color w:val="00A398"/>
        </w:rPr>
        <w:t xml:space="preserve"> roundtable</w:t>
      </w:r>
      <w:r w:rsidR="00C65B0D">
        <w:rPr>
          <w:rFonts w:asciiTheme="majorHAnsi" w:hAnsiTheme="majorHAnsi"/>
          <w:color w:val="00A398"/>
        </w:rPr>
        <w:t xml:space="preserve"> events</w:t>
      </w:r>
      <w:r>
        <w:rPr>
          <w:rFonts w:asciiTheme="majorHAnsi" w:hAnsiTheme="majorHAnsi"/>
          <w:color w:val="00A398"/>
        </w:rPr>
        <w:t xml:space="preserve">, will assist in the development of the </w:t>
      </w:r>
      <w:r w:rsidR="002C5B3C">
        <w:rPr>
          <w:rFonts w:asciiTheme="majorHAnsi" w:hAnsiTheme="majorHAnsi"/>
          <w:color w:val="00A398"/>
        </w:rPr>
        <w:t xml:space="preserve">improvement plan </w:t>
      </w:r>
      <w:r>
        <w:rPr>
          <w:rFonts w:asciiTheme="majorHAnsi" w:hAnsiTheme="majorHAnsi"/>
          <w:color w:val="00A398"/>
        </w:rPr>
        <w:t xml:space="preserve">and be considered as part of TEQSA’s forward planning, including </w:t>
      </w:r>
      <w:r w:rsidR="00607B3B">
        <w:rPr>
          <w:rFonts w:asciiTheme="majorHAnsi" w:hAnsiTheme="majorHAnsi"/>
          <w:color w:val="00A398"/>
        </w:rPr>
        <w:t xml:space="preserve">the </w:t>
      </w:r>
      <w:r>
        <w:rPr>
          <w:rFonts w:asciiTheme="majorHAnsi" w:hAnsiTheme="majorHAnsi"/>
          <w:color w:val="00A398"/>
        </w:rPr>
        <w:t xml:space="preserve">Corporate Plan </w:t>
      </w:r>
      <w:r w:rsidR="00607B3B">
        <w:rPr>
          <w:rFonts w:asciiTheme="majorHAnsi" w:hAnsiTheme="majorHAnsi"/>
          <w:color w:val="00A398"/>
        </w:rPr>
        <w:t xml:space="preserve">for </w:t>
      </w:r>
      <w:r>
        <w:rPr>
          <w:rFonts w:asciiTheme="majorHAnsi" w:hAnsiTheme="majorHAnsi"/>
          <w:color w:val="00A398"/>
        </w:rPr>
        <w:t>the next four years</w:t>
      </w:r>
      <w:r w:rsidR="00607B3B">
        <w:rPr>
          <w:rFonts w:asciiTheme="majorHAnsi" w:hAnsiTheme="majorHAnsi"/>
          <w:color w:val="00A398"/>
        </w:rPr>
        <w:t>:</w:t>
      </w:r>
      <w:r>
        <w:rPr>
          <w:rFonts w:asciiTheme="majorHAnsi" w:hAnsiTheme="majorHAnsi"/>
          <w:color w:val="00A398"/>
        </w:rPr>
        <w:t xml:space="preserve"> </w:t>
      </w:r>
    </w:p>
    <w:p w:rsidR="007C320A" w:rsidRDefault="007C320A" w:rsidP="00A505D5">
      <w:pPr>
        <w:pStyle w:val="ListParagraph"/>
        <w:numPr>
          <w:ilvl w:val="0"/>
          <w:numId w:val="20"/>
        </w:numPr>
      </w:pPr>
      <w:r>
        <w:t>How can TEQSA classify higher education providers more appropriately</w:t>
      </w:r>
      <w:r w:rsidR="005F16C4">
        <w:t xml:space="preserve"> to</w:t>
      </w:r>
      <w:r>
        <w:t xml:space="preserve"> reflect all organisations</w:t>
      </w:r>
      <w:r w:rsidR="009E51C7">
        <w:t>,</w:t>
      </w:r>
      <w:r>
        <w:t xml:space="preserve"> including independent, not-for-profit, TAFE and pathway providers? </w:t>
      </w:r>
    </w:p>
    <w:p w:rsidR="00D94D20" w:rsidRDefault="00D94D20" w:rsidP="00A505D5">
      <w:pPr>
        <w:pStyle w:val="ListParagraph"/>
      </w:pPr>
    </w:p>
    <w:p w:rsidR="00D94D20" w:rsidRDefault="00D94D20" w:rsidP="00A505D5">
      <w:pPr>
        <w:pStyle w:val="ListParagraph"/>
        <w:numPr>
          <w:ilvl w:val="0"/>
          <w:numId w:val="20"/>
        </w:numPr>
      </w:pPr>
      <w:r>
        <w:t xml:space="preserve">Why is there a difference in TEQSA’s performance rating and feedback from universities compared with other providers? How can this be addressed and can TEQSA be more transparent around how it does business?  How can TEQSA receive feedback (both positive and negative) from providers on a more regular basis? </w:t>
      </w:r>
    </w:p>
    <w:p w:rsidR="00D94D20" w:rsidRDefault="00D94D20" w:rsidP="00A505D5">
      <w:pPr>
        <w:pStyle w:val="ListParagraph"/>
      </w:pPr>
    </w:p>
    <w:p w:rsidR="00D94D20" w:rsidRPr="00E34698" w:rsidRDefault="00D94D20" w:rsidP="00A505D5">
      <w:pPr>
        <w:pStyle w:val="ListParagraph"/>
        <w:numPr>
          <w:ilvl w:val="0"/>
          <w:numId w:val="20"/>
        </w:numPr>
      </w:pPr>
      <w:r w:rsidRPr="00E34698">
        <w:t>How can TEQSA play a great</w:t>
      </w:r>
      <w:r>
        <w:t xml:space="preserve">er role in quality enhancement to </w:t>
      </w:r>
      <w:r w:rsidR="00E8151E">
        <w:t>support</w:t>
      </w:r>
      <w:r>
        <w:t xml:space="preserve"> ‘excellence, innovation and diversity’ and </w:t>
      </w:r>
      <w:r w:rsidR="009E51C7">
        <w:t>support</w:t>
      </w:r>
      <w:r>
        <w:t xml:space="preserve"> the growth of the higher education sector effectively? </w:t>
      </w:r>
      <w:r w:rsidRPr="00E34698">
        <w:t xml:space="preserve">What can providers do to assist in building a more collaborative partnership with the regulator? </w:t>
      </w:r>
    </w:p>
    <w:p w:rsidR="00D94D20" w:rsidRPr="00E34698" w:rsidRDefault="00D94D20" w:rsidP="00A505D5">
      <w:pPr>
        <w:pStyle w:val="ListParagraph"/>
        <w:numPr>
          <w:ilvl w:val="1"/>
          <w:numId w:val="20"/>
        </w:numPr>
      </w:pPr>
      <w:r w:rsidRPr="00E34698">
        <w:t>TEQSA sees itself as a regulator based on a par</w:t>
      </w:r>
      <w:r w:rsidR="002C5B3C">
        <w:t xml:space="preserve">tnership model but this </w:t>
      </w:r>
      <w:r w:rsidR="009E51C7">
        <w:t xml:space="preserve">needs to </w:t>
      </w:r>
      <w:r w:rsidR="00041A9F">
        <w:t xml:space="preserve">be </w:t>
      </w:r>
      <w:r w:rsidR="00041A9F" w:rsidRPr="00E34698">
        <w:t>conveyed</w:t>
      </w:r>
      <w:r w:rsidRPr="00E34698">
        <w:t xml:space="preserve"> to the sector </w:t>
      </w:r>
      <w:r w:rsidR="009E51C7">
        <w:t xml:space="preserve">to </w:t>
      </w:r>
      <w:r w:rsidR="00041A9F">
        <w:t xml:space="preserve">remove </w:t>
      </w:r>
      <w:r w:rsidR="00041A9F" w:rsidRPr="00E34698">
        <w:t>a</w:t>
      </w:r>
      <w:r w:rsidRPr="00E34698">
        <w:t xml:space="preserve"> roadblock in improving relationships. </w:t>
      </w:r>
    </w:p>
    <w:p w:rsidR="00D94D20" w:rsidRDefault="00D94D20" w:rsidP="00A505D5">
      <w:pPr>
        <w:pStyle w:val="ListParagraph"/>
        <w:numPr>
          <w:ilvl w:val="1"/>
          <w:numId w:val="20"/>
        </w:numPr>
      </w:pPr>
      <w:r w:rsidRPr="00E34698">
        <w:t>Providers need to have a</w:t>
      </w:r>
      <w:r w:rsidR="002C5B3C">
        <w:t xml:space="preserve"> strong</w:t>
      </w:r>
      <w:r w:rsidRPr="00E34698">
        <w:t xml:space="preserve"> understanding of the relevant legislation to gain an appreciation of </w:t>
      </w:r>
      <w:r w:rsidRPr="00E34698">
        <w:lastRenderedPageBreak/>
        <w:t xml:space="preserve">the environment that TEQSA is required to operate within. </w:t>
      </w:r>
    </w:p>
    <w:p w:rsidR="00D94D20" w:rsidRDefault="00D94D20" w:rsidP="00A505D5">
      <w:pPr>
        <w:pStyle w:val="ListParagraph"/>
      </w:pPr>
    </w:p>
    <w:p w:rsidR="00D94D20" w:rsidRDefault="00D94D20" w:rsidP="00A505D5">
      <w:pPr>
        <w:pStyle w:val="ListParagraph"/>
        <w:numPr>
          <w:ilvl w:val="0"/>
          <w:numId w:val="20"/>
        </w:numPr>
      </w:pPr>
      <w:r>
        <w:t xml:space="preserve">As industry, the market and the sector continue to evolve, how </w:t>
      </w:r>
      <w:r w:rsidR="00607B3B">
        <w:t xml:space="preserve">can </w:t>
      </w:r>
      <w:r>
        <w:t>TEQSA ensure it is also evolving</w:t>
      </w:r>
      <w:r w:rsidR="004C7E4E">
        <w:t xml:space="preserve"> as a regulator</w:t>
      </w:r>
      <w:r>
        <w:t xml:space="preserve">? </w:t>
      </w:r>
    </w:p>
    <w:p w:rsidR="00D94D20" w:rsidRDefault="00D94D20" w:rsidP="00A505D5">
      <w:pPr>
        <w:pStyle w:val="ListParagraph"/>
      </w:pPr>
    </w:p>
    <w:p w:rsidR="00D94D20" w:rsidRDefault="00D94D20" w:rsidP="00A505D5">
      <w:pPr>
        <w:pStyle w:val="ListParagraph"/>
        <w:numPr>
          <w:ilvl w:val="0"/>
          <w:numId w:val="20"/>
        </w:numPr>
      </w:pPr>
      <w:r>
        <w:t xml:space="preserve">How can TEQSA further streamline the course accreditation assessment process? Could the internal and external review of material occur concurrently? Could the process for new courses within a provider’s existing scope of delivery and expertise be accelerated? </w:t>
      </w:r>
    </w:p>
    <w:p w:rsidR="007C320A" w:rsidRDefault="007C320A" w:rsidP="00A505D5">
      <w:pPr>
        <w:pStyle w:val="ListParagraph"/>
      </w:pPr>
    </w:p>
    <w:p w:rsidR="0091492E" w:rsidRPr="00E34698" w:rsidRDefault="0091492E" w:rsidP="00A505D5">
      <w:pPr>
        <w:pStyle w:val="ListParagraph"/>
        <w:numPr>
          <w:ilvl w:val="0"/>
          <w:numId w:val="20"/>
        </w:numPr>
      </w:pPr>
      <w:r w:rsidRPr="00E34698">
        <w:t xml:space="preserve">How can the relationship between </w:t>
      </w:r>
      <w:r w:rsidR="00607B3B">
        <w:t>c</w:t>
      </w:r>
      <w:r w:rsidRPr="00E34698">
        <w:t xml:space="preserve">ase </w:t>
      </w:r>
      <w:r w:rsidR="00607B3B">
        <w:t>t</w:t>
      </w:r>
      <w:r w:rsidRPr="00E34698">
        <w:t xml:space="preserve">eams and providers be improved? </w:t>
      </w:r>
    </w:p>
    <w:p w:rsidR="0014277F" w:rsidRPr="00E34698" w:rsidRDefault="002C5B3C" w:rsidP="00A505D5">
      <w:pPr>
        <w:pStyle w:val="ListParagraph"/>
        <w:numPr>
          <w:ilvl w:val="1"/>
          <w:numId w:val="20"/>
        </w:numPr>
      </w:pPr>
      <w:r>
        <w:t xml:space="preserve">Can </w:t>
      </w:r>
      <w:r w:rsidR="0091492E" w:rsidRPr="00E34698">
        <w:t xml:space="preserve">Case Managers </w:t>
      </w:r>
      <w:r w:rsidR="00E93CD0" w:rsidRPr="00E34698">
        <w:t xml:space="preserve">be more engaged with the sector and </w:t>
      </w:r>
      <w:r w:rsidR="0091492E" w:rsidRPr="00E34698">
        <w:t>conduct site visit</w:t>
      </w:r>
      <w:r w:rsidR="00E93CD0" w:rsidRPr="00E34698">
        <w:t>s</w:t>
      </w:r>
      <w:r w:rsidR="0091492E" w:rsidRPr="00E34698">
        <w:t xml:space="preserve"> to gain a greater understanding of </w:t>
      </w:r>
      <w:r w:rsidR="00E93CD0" w:rsidRPr="00E34698">
        <w:t>individual organisations</w:t>
      </w:r>
      <w:r>
        <w:t>?</w:t>
      </w:r>
      <w:r w:rsidR="00E93CD0" w:rsidRPr="00E34698">
        <w:t xml:space="preserve"> </w:t>
      </w:r>
      <w:r w:rsidR="0091492E" w:rsidRPr="00E34698">
        <w:t xml:space="preserve"> </w:t>
      </w:r>
    </w:p>
    <w:p w:rsidR="0091492E" w:rsidRDefault="0091492E" w:rsidP="00A505D5">
      <w:pPr>
        <w:pStyle w:val="ListParagraph"/>
        <w:numPr>
          <w:ilvl w:val="1"/>
          <w:numId w:val="20"/>
        </w:numPr>
      </w:pPr>
      <w:r w:rsidRPr="00E34698">
        <w:t xml:space="preserve">What does good provider liaison look like? What </w:t>
      </w:r>
      <w:r w:rsidR="004C7E4E">
        <w:t xml:space="preserve">should </w:t>
      </w:r>
      <w:r w:rsidR="00041A9F">
        <w:t xml:space="preserve">be </w:t>
      </w:r>
      <w:r w:rsidR="00041A9F" w:rsidRPr="00E34698">
        <w:t>the</w:t>
      </w:r>
      <w:r w:rsidRPr="00E34698">
        <w:t xml:space="preserve"> KPIs and training for Case Managers? </w:t>
      </w:r>
      <w:r w:rsidR="00E93CD0" w:rsidRPr="00E34698">
        <w:t>H</w:t>
      </w:r>
      <w:r w:rsidRPr="00E34698">
        <w:t xml:space="preserve">ow can TEQSA ensure a consistent approach by all Case Managers? </w:t>
      </w:r>
    </w:p>
    <w:p w:rsidR="00C7165D" w:rsidRDefault="00C7165D" w:rsidP="00A505D5">
      <w:pPr>
        <w:pStyle w:val="ListParagraph"/>
        <w:numPr>
          <w:ilvl w:val="1"/>
          <w:numId w:val="20"/>
        </w:numPr>
      </w:pPr>
      <w:r>
        <w:t xml:space="preserve">Can a tiered approach to partnership and risk be implemented whereby high risk providers have far greater interaction and work more closely with Case Managers? </w:t>
      </w:r>
    </w:p>
    <w:p w:rsidR="00D94D20" w:rsidRDefault="00D94D20" w:rsidP="00A505D5">
      <w:pPr>
        <w:pStyle w:val="ListParagraph"/>
      </w:pPr>
    </w:p>
    <w:p w:rsidR="00D94D20" w:rsidRDefault="00D94D20" w:rsidP="00A505D5">
      <w:pPr>
        <w:pStyle w:val="ListParagraph"/>
        <w:numPr>
          <w:ilvl w:val="0"/>
          <w:numId w:val="20"/>
        </w:numPr>
      </w:pPr>
      <w:r>
        <w:t>How can TEQSA improve its communication to providers around the following matters?</w:t>
      </w:r>
    </w:p>
    <w:p w:rsidR="00D94D20" w:rsidRDefault="00D94D20" w:rsidP="00A505D5">
      <w:pPr>
        <w:pStyle w:val="ListParagraph"/>
        <w:numPr>
          <w:ilvl w:val="1"/>
          <w:numId w:val="20"/>
        </w:numPr>
      </w:pPr>
      <w:r>
        <w:t xml:space="preserve">The status of assessments – can this be tracked through the Provider Portal? </w:t>
      </w:r>
    </w:p>
    <w:p w:rsidR="00D94D20" w:rsidRDefault="00D94D20" w:rsidP="00A505D5">
      <w:pPr>
        <w:pStyle w:val="ListParagraph"/>
        <w:numPr>
          <w:ilvl w:val="1"/>
          <w:numId w:val="20"/>
        </w:numPr>
      </w:pPr>
      <w:r>
        <w:t>The process for requesting an internal review of decisions, including decisions made about conditions</w:t>
      </w:r>
    </w:p>
    <w:p w:rsidR="00D94D20" w:rsidRDefault="00D94D20" w:rsidP="00A505D5">
      <w:pPr>
        <w:pStyle w:val="ListParagraph"/>
        <w:numPr>
          <w:ilvl w:val="1"/>
          <w:numId w:val="20"/>
        </w:numPr>
      </w:pPr>
      <w:r>
        <w:lastRenderedPageBreak/>
        <w:t>The status of Guidance Notes and ensuring the relevant people within providers are aware of and understand any changes. What innovative systems could be used to support this?</w:t>
      </w:r>
    </w:p>
    <w:p w:rsidR="00D94D20" w:rsidRDefault="00D94D20" w:rsidP="00A505D5">
      <w:pPr>
        <w:pStyle w:val="ListParagraph"/>
      </w:pPr>
    </w:p>
    <w:p w:rsidR="00D94D20" w:rsidRDefault="00D94D20" w:rsidP="00A505D5">
      <w:pPr>
        <w:pStyle w:val="ListParagraph"/>
        <w:numPr>
          <w:ilvl w:val="0"/>
          <w:numId w:val="20"/>
        </w:numPr>
      </w:pPr>
      <w:r>
        <w:t>How can TEQSA increase transparency of metrics/data in relation to risk thresholds, attrition and financial analysis? Could a dashboard report be developed for each provider</w:t>
      </w:r>
      <w:r w:rsidR="009E51C7">
        <w:t>,</w:t>
      </w:r>
      <w:r>
        <w:t xml:space="preserve"> indicating how they are tracking? </w:t>
      </w:r>
    </w:p>
    <w:p w:rsidR="00131CDE" w:rsidRDefault="00131CDE" w:rsidP="00A505D5">
      <w:pPr>
        <w:pStyle w:val="ListParagraph"/>
      </w:pPr>
    </w:p>
    <w:p w:rsidR="00B4215B" w:rsidRDefault="0091492E" w:rsidP="00347CE8">
      <w:pPr>
        <w:pStyle w:val="ListParagraph"/>
        <w:numPr>
          <w:ilvl w:val="0"/>
          <w:numId w:val="20"/>
        </w:numPr>
      </w:pPr>
      <w:r w:rsidRPr="00E34698">
        <w:t>How can TEQSA increase the</w:t>
      </w:r>
      <w:r w:rsidR="001521AD" w:rsidRPr="00E34698">
        <w:t xml:space="preserve"> areas of</w:t>
      </w:r>
      <w:r w:rsidRPr="00E34698">
        <w:t xml:space="preserve"> expertise</w:t>
      </w:r>
      <w:r w:rsidR="001521AD" w:rsidRPr="00E34698">
        <w:t xml:space="preserve"> of its </w:t>
      </w:r>
      <w:r w:rsidR="00607B3B">
        <w:t>R</w:t>
      </w:r>
      <w:r w:rsidR="001521AD" w:rsidRPr="00E34698">
        <w:t xml:space="preserve">egister of Experts and ensure adequate representation </w:t>
      </w:r>
      <w:r w:rsidR="00D902B2">
        <w:t>from</w:t>
      </w:r>
      <w:r w:rsidR="00D94D20">
        <w:t xml:space="preserve"> the independent, TAFE and business sectors?</w:t>
      </w:r>
      <w:r w:rsidR="00D94D20" w:rsidRPr="00D94D20">
        <w:t xml:space="preserve"> </w:t>
      </w:r>
      <w:r w:rsidR="00D94D20">
        <w:t>Can there be more cooperation between professional accreditation and TEQSA processes?</w:t>
      </w:r>
      <w:bookmarkStart w:id="0" w:name="_GoBack"/>
      <w:bookmarkEnd w:id="0"/>
    </w:p>
    <w:sectPr w:rsidR="00B4215B" w:rsidSect="00920968">
      <w:headerReference w:type="even" r:id="rId13"/>
      <w:headerReference w:type="default" r:id="rId14"/>
      <w:footerReference w:type="even" r:id="rId15"/>
      <w:footerReference w:type="default" r:id="rId16"/>
      <w:headerReference w:type="first" r:id="rId17"/>
      <w:footerReference w:type="first" r:id="rId18"/>
      <w:pgSz w:w="11906" w:h="16838" w:code="9"/>
      <w:pgMar w:top="2127" w:right="1247" w:bottom="1247" w:left="192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C9" w:rsidRDefault="00117AC9" w:rsidP="008E21DE">
      <w:pPr>
        <w:spacing w:before="0" w:after="0"/>
      </w:pPr>
      <w:r>
        <w:separator/>
      </w:r>
    </w:p>
  </w:endnote>
  <w:endnote w:type="continuationSeparator" w:id="0">
    <w:p w:rsidR="00117AC9" w:rsidRDefault="00117AC9"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Default="00117AC9">
    <w:pPr>
      <w:pStyle w:val="Footer"/>
    </w:pPr>
    <w:r>
      <w:rPr>
        <w:noProof/>
        <w:lang w:eastAsia="en-AU"/>
      </w:rPr>
      <w:drawing>
        <wp:anchor distT="0" distB="0" distL="114300" distR="114300" simplePos="0" relativeHeight="251657728" behindDoc="0" locked="1" layoutInCell="1" allowOverlap="1" wp14:anchorId="3C76ABC0" wp14:editId="2FA7BA52">
          <wp:simplePos x="0" y="0"/>
          <wp:positionH relativeFrom="page">
            <wp:align>right</wp:align>
          </wp:positionH>
          <wp:positionV relativeFrom="page">
            <wp:align>bottom</wp:align>
          </wp:positionV>
          <wp:extent cx="2507760" cy="11113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QSA-DkGreen-HR.png"/>
                  <pic:cNvPicPr/>
                </pic:nvPicPr>
                <pic:blipFill rotWithShape="1">
                  <a:blip r:embed="rId1">
                    <a:extLst>
                      <a:ext uri="{28A0092B-C50C-407E-A947-70E740481C1C}">
                        <a14:useLocalDpi xmlns:a14="http://schemas.microsoft.com/office/drawing/2010/main" val="0"/>
                      </a:ext>
                    </a:extLst>
                  </a:blip>
                  <a:srcRect l="1" r="-39508" b="-136574"/>
                  <a:stretch/>
                </pic:blipFill>
                <pic:spPr bwMode="auto">
                  <a:xfrm>
                    <a:off x="0" y="0"/>
                    <a:ext cx="2507760" cy="111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Default="00117AC9">
    <w:pPr>
      <w:pStyle w:val="Footer"/>
    </w:pPr>
    <w:r w:rsidRPr="000E6484">
      <w:rPr>
        <w:noProof/>
        <w:lang w:eastAsia="en-AU"/>
      </w:rPr>
      <mc:AlternateContent>
        <mc:Choice Requires="wps">
          <w:drawing>
            <wp:anchor distT="0" distB="0" distL="114300" distR="114300" simplePos="0" relativeHeight="251659776" behindDoc="0" locked="1" layoutInCell="1" allowOverlap="1" wp14:anchorId="50A3B6E7" wp14:editId="33AC90F6">
              <wp:simplePos x="0" y="0"/>
              <wp:positionH relativeFrom="page">
                <wp:align>left</wp:align>
              </wp:positionH>
              <wp:positionV relativeFrom="page">
                <wp:align>bottom</wp:align>
              </wp:positionV>
              <wp:extent cx="1919160" cy="466920"/>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rsidR="00117AC9" w:rsidRDefault="00117AC9" w:rsidP="000E6484">
                          <w:pPr>
                            <w:pStyle w:val="Footer"/>
                          </w:pPr>
                          <w:r>
                            <w:fldChar w:fldCharType="begin"/>
                          </w:r>
                          <w:r>
                            <w:instrText xml:space="preserve"> PAGE   \* MERGEFORMAT </w:instrText>
                          </w:r>
                          <w:r>
                            <w:fldChar w:fldCharType="separate"/>
                          </w:r>
                          <w:r w:rsidR="00347CE8">
                            <w:rPr>
                              <w:noProof/>
                            </w:rPr>
                            <w:t>10</w:t>
                          </w:r>
                          <w:r>
                            <w:rPr>
                              <w:noProof/>
                            </w:rPr>
                            <w:fldChar w:fldCharType="end"/>
                          </w:r>
                        </w:p>
                      </w:txbxContent>
                    </wps:txbx>
                    <wps:bodyPr rot="0" spcFirstLastPara="0" vertOverflow="overflow" horzOverflow="overflow" vert="horz" wrap="square" lIns="79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3B6E7" id="_x0000_t202" coordsize="21600,21600" o:spt="202" path="m,l,21600r21600,l21600,xe">
              <v:stroke joinstyle="miter"/>
              <v:path gradientshapeok="t" o:connecttype="rect"/>
            </v:shapetype>
            <v:shape id="Text Box 11" o:spid="_x0000_s1026" type="#_x0000_t202" style="position:absolute;margin-left:0;margin-top:0;width:151.1pt;height:36.75pt;z-index:2516597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QOJQIAAEgEAAAOAAAAZHJzL2Uyb0RvYy54bWysVF1v0zAUfUfiP1h+p0kLFFY1ncqmIqRq&#10;m9SiPbuO00RKfI3tNim/nmMn6dDgCaFK7vX9vuceZ3nbNTU7K+sq0hmfTlLOlJaUV/qY8e/7zbvP&#10;nDkvdC5q0irjF+X47ertm2VrFmpGJdW5sgxJtFu0JuOl92aRJE6WqhFuQkZpGAuyjfC42mOSW9Ei&#10;e1MnszSdJy3Z3FiSyjlo73sjX8X8RaGkfywKpzyrM47efDxtPA/hTFZLsThaYcpKDm2If+iiEZVG&#10;0Wuqe+EFO9nqj1RNJS05KvxEUpNQUVRSxRkwzTR9Nc2uFEbFWQCOM1eY3P9LKx/OT5ZVOXY35UyL&#10;Bjvaq86zL9QxqIBPa9wCbjsDR99BD99R76AMY3eFbcI/BmKwA+nLFd2QTYagG/zmMEnYPsznN7MI&#10;f/ISbazzXxU1LAgZt9heBFWct86jE7iOLqGYpk1V13GDtWZtxufvP6Yx4GpBRK0RGGboew2S7w7d&#10;MNiB8gvmstQzwxm5qVB8K5x/EhZUQL+gt3/EUdSEIjRInJVkf/5NH/yxIVg5a0GtjLsfJ2EVZ/U3&#10;jd19wuRpIGO8QbCjcBgFfWruCJTFTtBSFIOfr0exsNQ8g/rrUAomoSUKZtyP4p3vWY6nI9V6HZ1A&#10;OSP8Vu+MDKkDhgHPffcsrBlA91jXA43ME4tX2Pe+Pfrrk6eiiosJqPZQDmCDrnFfw9MK7+H3e/R6&#10;+QCsfgEAAP//AwBQSwMEFAAGAAgAAAAhAOxXUAPcAAAABAEAAA8AAABkcnMvZG93bnJldi54bWxM&#10;j81qwzAQhO+FvIPYQG+NFIf+4FgOScAt9FCIG3KWra1taq2MpMROn75qL+1lYZhh5ttsM5meXdD5&#10;zpKE5UIAQ6qt7qiRcHwv7p6A+aBIq94SSriih00+u8lUqu1IB7yUoWGxhHyqJLQhDCnnvm7RKL+w&#10;A1L0PqwzKkTpGq6dGmO56XkixAM3qqO40KoB9y3Wn+XZSCiOxal4qfgyPI+vb/vy6+p2opTydj5t&#10;18ACTuEvDD/4ER3yyFTZM2nPegnxkfB7o7cSSQKskvC4ugeeZ/w/fP4NAAD//wMAUEsBAi0AFAAG&#10;AAgAAAAhALaDOJL+AAAA4QEAABMAAAAAAAAAAAAAAAAAAAAAAFtDb250ZW50X1R5cGVzXS54bWxQ&#10;SwECLQAUAAYACAAAACEAOP0h/9YAAACUAQAACwAAAAAAAAAAAAAAAAAvAQAAX3JlbHMvLnJlbHNQ&#10;SwECLQAUAAYACAAAACEA15mEDiUCAABIBAAADgAAAAAAAAAAAAAAAAAuAgAAZHJzL2Uyb0RvYy54&#10;bWxQSwECLQAUAAYACAAAACEA7FdQA9wAAAAEAQAADwAAAAAAAAAAAAAAAAB/BAAAZHJzL2Rvd25y&#10;ZXYueG1sUEsFBgAAAAAEAAQA8wAAAIgFAAAAAA==&#10;" filled="f" stroked="f" strokeweight=".5pt">
              <v:textbox inset="22mm,0,0,0">
                <w:txbxContent>
                  <w:p w:rsidR="00117AC9" w:rsidRDefault="00117AC9" w:rsidP="000E6484">
                    <w:pPr>
                      <w:pStyle w:val="Footer"/>
                    </w:pPr>
                    <w:r>
                      <w:fldChar w:fldCharType="begin"/>
                    </w:r>
                    <w:r>
                      <w:instrText xml:space="preserve"> PAGE   \* MERGEFORMAT </w:instrText>
                    </w:r>
                    <w:r>
                      <w:fldChar w:fldCharType="separate"/>
                    </w:r>
                    <w:r w:rsidR="00347CE8">
                      <w:rPr>
                        <w:noProof/>
                      </w:rPr>
                      <w:t>10</w: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Pr="000E6484" w:rsidRDefault="00117AC9" w:rsidP="00080615">
    <w:pPr>
      <w:pStyle w:val="Footer"/>
    </w:pPr>
    <w:r w:rsidRPr="000E6484">
      <w:rPr>
        <w:noProof/>
        <w:lang w:eastAsia="en-AU"/>
      </w:rPr>
      <mc:AlternateContent>
        <mc:Choice Requires="wps">
          <w:drawing>
            <wp:anchor distT="0" distB="0" distL="114300" distR="114300" simplePos="0" relativeHeight="251655680" behindDoc="0" locked="1" layoutInCell="1" allowOverlap="1" wp14:anchorId="7E420D6C" wp14:editId="4709E331">
              <wp:simplePos x="0" y="0"/>
              <wp:positionH relativeFrom="page">
                <wp:align>right</wp:align>
              </wp:positionH>
              <wp:positionV relativeFrom="page">
                <wp:align>bottom</wp:align>
              </wp:positionV>
              <wp:extent cx="1919160" cy="46692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rsidR="00117AC9" w:rsidRDefault="00117AC9" w:rsidP="008E21DE">
                          <w:pPr>
                            <w:pStyle w:val="Footer"/>
                            <w:jc w:val="right"/>
                          </w:pPr>
                          <w:r>
                            <w:fldChar w:fldCharType="begin"/>
                          </w:r>
                          <w:r>
                            <w:instrText xml:space="preserve"> PAGE   \* MERGEFORMAT </w:instrText>
                          </w:r>
                          <w:r>
                            <w:fldChar w:fldCharType="separate"/>
                          </w:r>
                          <w:r w:rsidR="00347CE8">
                            <w:rPr>
                              <w:noProof/>
                            </w:rPr>
                            <w:t>9</w:t>
                          </w:r>
                          <w:r>
                            <w:rPr>
                              <w:noProof/>
                            </w:rPr>
                            <w:fldChar w:fldCharType="end"/>
                          </w:r>
                        </w:p>
                      </w:txbxContent>
                    </wps:txbx>
                    <wps:bodyPr rot="0" spcFirstLastPara="0" vertOverflow="overflow" horzOverflow="overflow" vert="horz" wrap="square" lIns="0" tIns="0" rIns="79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0D6C" id="_x0000_t202" coordsize="21600,21600" o:spt="202" path="m,l,21600r21600,l21600,xe">
              <v:stroke joinstyle="miter"/>
              <v:path gradientshapeok="t" o:connecttype="rect"/>
            </v:shapetype>
            <v:shape id="Text Box 5" o:spid="_x0000_s1027" type="#_x0000_t202" style="position:absolute;margin-left:99.9pt;margin-top:0;width:151.1pt;height:36.75pt;z-index:2516556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F6KgIAAE0EAAAOAAAAZHJzL2Uyb0RvYy54bWysVFFv2jAQfp+0/2D5fSSwwVpEqFgrpkmo&#10;rQRTn43jkEiJz7MNCfv1++wQOnV7mqZIzuXufL77vs9Z3HVNzU7Kuop0xsejlDOlJeWVPmT8+279&#10;4YYz54XORU1aZfysHL9bvn+3aM1cTaikOleWoYh289ZkvPTezJPEyVI1wo3IKI1gQbYRHp/2kORW&#10;tKje1MkkTWdJSzY3lqRyDt6HPsiXsX5RKOmfisIpz+qMozcfVxvXfViT5ULMD1aYspKXNsQ/dNGI&#10;SuPQa6kH4QU72uqPUk0lLTkq/EhSk1BRVFLFGTDNOH0zzbYURsVZAI4zV5jc/ysrH0/PllV5xqec&#10;adGAop3qPPtCHZsGdFrj5kjaGqT5Dm6wPPgdnGHorrBNeGMchjhwPl+xDcVk2HSLZ4aQROzTbHY7&#10;ieAnr7uNdf6rooYFI+MW3EVIxWnjPDpB6pASDtO0ruo68ldr1mZ89nGaxg3XCHbUGhvDDH2vwfLd&#10;vosTX+fYU37GeJZ6eTgj1xV62Ajnn4WFHtA2NO6fsBQ14Sy6WJyVZH/+zR/yQROinLXQV8bdj6Ow&#10;irP6mwaBQYyDYaPxGZCkcO8Htz429wTdjnGFjIwmwtbXg1lYal6g/1U4CiGhJQ7MuB/Me99LHfdH&#10;qtUqJkF3RviN3hoZSgcoA6y77kVYc8Heg7VHGuQn5m8o6HN7ElZHT0UV+Qng9lBeMIdmI22X+xUu&#10;xe/fMev1L7D8BQAA//8DAFBLAwQUAAYACAAAACEA/y2izdoAAAAEAQAADwAAAGRycy9kb3ducmV2&#10;LnhtbEyPwU7DMAyG70i8Q2QkbixtJwYqTacJaUjcYAzOWeO1FYnTJela3h7DBS6WrP/X58/VenZW&#10;nDHE3pOCfJGBQGq86alVsH/b3tyDiEmT0dYTKvjCCOv68qLSpfETveJ5l1rBEIqlVtClNJRSxqZD&#10;p+PCD0icHX1wOvEaWmmCnhjurCyybCWd7okvdHrAxw6bz93oFNy9n8KUpz2OH8eX02bVbO3zU67U&#10;9dW8eQCRcE5/ZfjRZ3Wo2engRzJRWAX8SPqdnC2zogBxYPDyFmRdyf/y9TcAAAD//wMAUEsBAi0A&#10;FAAGAAgAAAAhALaDOJL+AAAA4QEAABMAAAAAAAAAAAAAAAAAAAAAAFtDb250ZW50X1R5cGVzXS54&#10;bWxQSwECLQAUAAYACAAAACEAOP0h/9YAAACUAQAACwAAAAAAAAAAAAAAAAAvAQAAX3JlbHMvLnJl&#10;bHNQSwECLQAUAAYACAAAACEAXkTReioCAABNBAAADgAAAAAAAAAAAAAAAAAuAgAAZHJzL2Uyb0Rv&#10;Yy54bWxQSwECLQAUAAYACAAAACEA/y2izdoAAAAEAQAADwAAAAAAAAAAAAAAAACEBAAAZHJzL2Rv&#10;d25yZXYueG1sUEsFBgAAAAAEAAQA8wAAAIsFAAAAAA==&#10;" filled="f" stroked="f" strokeweight=".5pt">
              <v:textbox inset="0,0,22mm,0">
                <w:txbxContent>
                  <w:p w:rsidR="00117AC9" w:rsidRDefault="00117AC9" w:rsidP="008E21DE">
                    <w:pPr>
                      <w:pStyle w:val="Footer"/>
                      <w:jc w:val="right"/>
                    </w:pPr>
                    <w:r>
                      <w:fldChar w:fldCharType="begin"/>
                    </w:r>
                    <w:r>
                      <w:instrText xml:space="preserve"> PAGE   \* MERGEFORMAT </w:instrText>
                    </w:r>
                    <w:r>
                      <w:fldChar w:fldCharType="separate"/>
                    </w:r>
                    <w:r w:rsidR="00347CE8">
                      <w:rPr>
                        <w:noProof/>
                      </w:rPr>
                      <w:t>9</w:t>
                    </w:r>
                    <w:r>
                      <w:rPr>
                        <w:noProof/>
                      </w:rPr>
                      <w:fldChar w:fldCharType="end"/>
                    </w:r>
                  </w:p>
                </w:txbxContent>
              </v:textbox>
              <w10:wrap anchorx="page" anchory="page"/>
              <w10:anchorlock/>
            </v:shape>
          </w:pict>
        </mc:Fallback>
      </mc:AlternateContent>
    </w:r>
    <w:fldSimple w:instr=" STYLEREF  Title  \* MERGEFORMAT ">
      <w:r w:rsidR="00347CE8" w:rsidRPr="00347CE8">
        <w:rPr>
          <w:b/>
          <w:bCs/>
          <w:noProof/>
          <w:lang w:val="en-US"/>
        </w:rPr>
        <w:t>Higher Education</w:t>
      </w:r>
      <w:r w:rsidR="00347CE8">
        <w:rPr>
          <w:noProof/>
        </w:rPr>
        <w:t xml:space="preserve"> Provider Roundtables – event report</w:t>
      </w:r>
    </w:fldSimple>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Pr="00080615" w:rsidRDefault="00117AC9" w:rsidP="00080615">
    <w:pPr>
      <w:pStyle w:val="Footer"/>
    </w:pPr>
    <w:r w:rsidRPr="00080615">
      <w:rPr>
        <w:noProof/>
        <w:lang w:eastAsia="en-AU"/>
      </w:rPr>
      <mc:AlternateContent>
        <mc:Choice Requires="wps">
          <w:drawing>
            <wp:anchor distT="0" distB="0" distL="114300" distR="114300" simplePos="0" relativeHeight="251654656" behindDoc="0" locked="1" layoutInCell="1" allowOverlap="1" wp14:anchorId="615DAB7C" wp14:editId="6188A855">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rsidR="00117AC9" w:rsidRDefault="00117AC9"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15DAB7C" id="_x0000_t202" coordsize="21600,21600" o:spt="202" path="m,l,21600r21600,l21600,xe">
              <v:stroke joinstyle="miter"/>
              <v:path gradientshapeok="t" o:connecttype="rect"/>
            </v:shapetype>
            <v:shape id="Text Box 4" o:spid="_x0000_s1028" type="#_x0000_t202" style="position:absolute;margin-left:478pt;margin-top:794pt;width:117.35pt;height:47.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VBKwIAAE0EAAAOAAAAZHJzL2Uyb0RvYy54bWysVF1v2jAUfZ+0/2D5fSRQ+jFEqFgrpkmo&#10;rQRTn43jkEiJr2cbEvbrd+wQOnV7mvZibu6X7z3nmPl919TsqKyrSGd8PEo5U1pSXul9xr9vV5/u&#10;OHNe6FzUpFXGT8rx+8XHD/PWzNSESqpzZRmaaDdrTcZL780sSZwsVSPciIzSCBZkG+HxafdJbkWL&#10;7k2dTNL0JmnJ5saSVM7B+9gH+SL2Lwol/XNROOVZnXHM5uNp47kLZ7KYi9neClNW8jyG+IcpGlFp&#10;XHpp9Si8YAdb/dGqqaQlR4UfSWoSKopKqrgDthmn77bZlMKouAvAceYCk/t/beXT8cWyKs/4lDMt&#10;GlC0VZ1nX6hj04BOa9wMSRuDNN/BDZYHv4MzLN0Vtgm/WIchDpxPF2xDMxmKpp/Tq+k1ZxKxmzS9&#10;HUfwk7dqY53/qqhhwci4BXcRUnFcO49JkDqkhMs0raq6jvzVmrVoenWdxoJLBBW1RmHYoZ81WL7b&#10;dXHjybDHjvIT1rPUy8MZuaoww1o4/yIs9ICNoHH/jKOoCXfR2eKsJPvzb/6QD5oQ5ayFvjLufhyE&#10;VZzV3zQIDGIcDBuNW+g5hXs3uPWheSDodownZGQ0Eba+HszCUvMK/S/DVQgJLXFhxv1gPvhe6ng/&#10;Ui2XMQm6M8Kv9cbI0DpAGWDddq/CmjP2Hqw90SA/MXtHQZ/bk7A8eCqqyE8At4fyjDk0G2k7v6/w&#10;KH7/jllv/wKLXwAAAP//AwBQSwMEFAAGAAgAAAAhADNCCenkAAAADgEAAA8AAABkcnMvZG93bnJl&#10;di54bWxMj09Lw0AQxe+C32EZwZvdtNi4jdmUIFoQqWAV8bhNJn8wOxuz2zb59k5PenvDe7z5vXQ9&#10;2k4ccfCtIw3zWQQCqXBlS7WGj/enGwXCB0Ol6Ryhhgk9rLPLi9QkpTvRGx53oRZcQj4xGpoQ+kRK&#10;XzRojZ+5Hom9yg3WBD6HWpaDOXG57eQiimJpTUv8oTE9PjRYfO8OVsNL/llNr5upve034SevtsXX&#10;47PS+vpqzO9BBBzDXxjO+IwOGTPt3YFKLzoNq2XMWwIbS6VYnSPzVXQHYs8qVosYZJbK/zOyXwAA&#10;AP//AwBQSwECLQAUAAYACAAAACEAtoM4kv4AAADhAQAAEwAAAAAAAAAAAAAAAAAAAAAAW0NvbnRl&#10;bnRfVHlwZXNdLnhtbFBLAQItABQABgAIAAAAIQA4/SH/1gAAAJQBAAALAAAAAAAAAAAAAAAAAC8B&#10;AABfcmVscy8ucmVsc1BLAQItABQABgAIAAAAIQCdQ0VBKwIAAE0EAAAOAAAAAAAAAAAAAAAAAC4C&#10;AABkcnMvZTJvRG9jLnhtbFBLAQItABQABgAIAAAAIQAzQgnp5AAAAA4BAAAPAAAAAAAAAAAAAAAA&#10;AIUEAABkcnMvZG93bnJldi54bWxQSwUGAAAAAAQABADzAAAAlgUAAAAA&#10;" filled="f" stroked="f" strokeweight=".5pt">
              <v:textbox inset="0,0,20mm,0">
                <w:txbxContent>
                  <w:p w:rsidR="000E6484" w:rsidRDefault="000E648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v:textbox>
              <w10:wrap anchorx="page" anchory="page"/>
              <w10:anchorlock/>
            </v:shape>
          </w:pict>
        </mc:Fallback>
      </mc:AlternateContent>
    </w:r>
    <w:fldSimple w:instr=" STYLEREF  Title  \* MERGEFORMAT ">
      <w:r w:rsidRPr="000E6484">
        <w:rPr>
          <w:b/>
          <w:bCs/>
          <w:noProof/>
          <w:lang w:val="en-US"/>
        </w:rPr>
        <w:t>Title</w:t>
      </w:r>
      <w:r>
        <w:rPr>
          <w:noProof/>
        </w:rPr>
        <w:t xml:space="preserve"> of document over two or three lines</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C9" w:rsidRDefault="00117AC9" w:rsidP="008E21DE">
      <w:pPr>
        <w:spacing w:before="0" w:after="0"/>
      </w:pPr>
      <w:r>
        <w:separator/>
      </w:r>
    </w:p>
  </w:footnote>
  <w:footnote w:type="continuationSeparator" w:id="0">
    <w:p w:rsidR="00117AC9" w:rsidRDefault="00117AC9"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Default="00117AC9">
    <w:pPr>
      <w:pStyle w:val="Header"/>
    </w:pPr>
    <w:r>
      <w:rPr>
        <w:noProof/>
        <w:lang w:eastAsia="en-AU"/>
      </w:rPr>
      <w:drawing>
        <wp:anchor distT="0" distB="0" distL="114300" distR="114300" simplePos="0" relativeHeight="251658752" behindDoc="0" locked="1" layoutInCell="1" allowOverlap="1" wp14:anchorId="287E9FE7" wp14:editId="1CC92CD3">
          <wp:simplePos x="0" y="0"/>
          <wp:positionH relativeFrom="page">
            <wp:align>left</wp:align>
          </wp:positionH>
          <wp:positionV relativeFrom="page">
            <wp:align>top</wp:align>
          </wp:positionV>
          <wp:extent cx="4175640" cy="1257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Gov-TEQSA-DkGreen-HR.png"/>
                  <pic:cNvPicPr/>
                </pic:nvPicPr>
                <pic:blipFill rotWithShape="1">
                  <a:blip r:embed="rId1">
                    <a:extLst>
                      <a:ext uri="{28A0092B-C50C-407E-A947-70E740481C1C}">
                        <a14:useLocalDpi xmlns:a14="http://schemas.microsoft.com/office/drawing/2010/main" val="0"/>
                      </a:ext>
                    </a:extLst>
                  </a:blip>
                  <a:srcRect l="-20969" t="-135554" b="-1"/>
                  <a:stretch/>
                </pic:blipFill>
                <pic:spPr bwMode="auto">
                  <a:xfrm>
                    <a:off x="0" y="0"/>
                    <a:ext cx="4175640" cy="125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6704" behindDoc="1" locked="1" layoutInCell="1" allowOverlap="1" wp14:anchorId="6CC94E33" wp14:editId="01C9F989">
              <wp:simplePos x="0" y="0"/>
              <wp:positionH relativeFrom="page">
                <wp:align>right</wp:align>
              </wp:positionH>
              <wp:positionV relativeFrom="page">
                <wp:align>bottom</wp:align>
              </wp:positionV>
              <wp:extent cx="7308720" cy="7296840"/>
              <wp:effectExtent l="0" t="0" r="6985" b="0"/>
              <wp:wrapNone/>
              <wp:docPr id="8" name="Group 8"/>
              <wp:cNvGraphicFramePr/>
              <a:graphic xmlns:a="http://schemas.openxmlformats.org/drawingml/2006/main">
                <a:graphicData uri="http://schemas.microsoft.com/office/word/2010/wordprocessingGroup">
                  <wpg:wgp>
                    <wpg:cNvGrpSpPr/>
                    <wpg:grpSpPr>
                      <a:xfrm>
                        <a:off x="0" y="0"/>
                        <a:ext cx="7308720" cy="7296840"/>
                        <a:chOff x="0" y="0"/>
                        <a:chExt cx="7309640" cy="7296940"/>
                      </a:xfrm>
                    </wpg:grpSpPr>
                    <wps:wsp>
                      <wps:cNvPr id="7" name="Right Triangle 7"/>
                      <wps:cNvSpPr/>
                      <wps:spPr>
                        <a:xfrm rot="16200000">
                          <a:off x="254000" y="241300"/>
                          <a:ext cx="7055640" cy="705564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16200000">
                          <a:off x="0" y="0"/>
                          <a:ext cx="7055640" cy="7055640"/>
                        </a:xfrm>
                        <a:prstGeom prst="r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1F3640F" id="Group 8" o:spid="_x0000_s1026" style="position:absolute;margin-left:524.3pt;margin-top:0;width:575.5pt;height:574.55pt;z-index:-251659776;mso-position-horizontal:right;mso-position-horizontal-relative:page;mso-position-vertical:bottom;mso-position-vertical-relative:page;mso-width-relative:margin;mso-height-relative:margin" coordsize="73096,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wVTgMAACcLAAAOAAAAZHJzL2Uyb0RvYy54bWzsVktP3DAQvlfqf7B8L9ld9gERWYSgoEoU&#10;EFBx9jrOQ3Js1/aSpb++43GSpTwuILWqxB6y9nien2c++eBw00hyL6yrtcroeGdEiVBc57UqM/rj&#10;9vTLHiXOM5UzqZXI6INw9HD5+dNBa1Ix0ZWWubAEnCiXtiajlfcmTRLHK9Ewt6ONUHBYaNswD1tb&#10;JrllLXhvZDIZjeZJq21urObCOZCexEO6RP9FIbi/LAonPJEZhdw8fi1+V+GbLA9YWlpmqpp3abA3&#10;ZNGwWkHQwdUJ84ysbf3MVVNzq50u/A7XTaKLouYCa4BqxqMn1ZxZvTZYS5m2pRlgAmif4PRmt/zi&#10;/sqSOs8oXJRiDVwRRiV7AZrWlClonFlzY65sJyjjLlS7KWwT/qEOskFQHwZQxcYTDsLF7mhvMQHs&#10;OZwtJvvzvWkHO6/gbp7Z8err1nJ/DsqD5X60TPrASchvSKc10EJui5J7H0o3FTMCwXcBgw6lRY/S&#10;dV1WntzamqlSCrKIcKHqgJVLHcDWA0WshvYbz6Ft4Yfd0uE2mU2DhABAk+l4F5bYlgOCo9lsi0O3&#10;AY0BB5Ya6/yZ0A0Ji4xa3yeGYdj9ufPRoFcMSTkt6/y0lhI3YeLEsbTknsGsrMpxSAJC/KElVdBV&#10;OljF4yCBe+hLxZV/kCLoSXUtCmgu6IIJJoJjvQ3COBfKj+NRxXIRY88Qny56nxbmgg6D5wLiD747&#10;B71mdNL7jm46/WAqkBUG43gRryQWjQcLjKyVH4ybWmn7UmUSquoiR/0epAhNQGml8wdoKmwKuHtn&#10;+GkNl3fOnL9iFkgIhECs/hI+hdRtRnW3oqTS9tdL8qAPXQ+nlLRAahl1P9fMCkrkNwXzsD+ehnny&#10;uJnOcCzt45PV4xO1bo419MIYs8MlGFsv+2VhdXMH/HsUosIRUxxiZ5R722+OfSRbYHAujo5QDZjP&#10;MH+ubgwPzgOqoS1vN3fMmq6DPTT/he5nkKVPWjjqBkulj9ZeFzX29xbXDm/gg8Bif4EY5q8Qw/w9&#10;xACYvkCo/4AO4jTN8K7kuvmu8zhlgbc6tgJxoHNkj3kvDvzRzyVO8AebfLBJ4LqeQv4/NsFHB7zG&#10;sJ27l2N47j3eI/ts37fL3wAAAP//AwBQSwMEFAAGAAgAAAAhAGB1F3HcAAAABwEAAA8AAABkcnMv&#10;ZG93bnJldi54bWxMj0FLw0AQhe+C/2EZwZvdrFqxMZtSinoqgq0gvU2z0yQ0Oxuy2yT992686GWY&#10;xxvefC9bjrYRPXW+dqxBzRIQxIUzNZcavnZvd88gfEA22DgmDRfysMyvrzJMjRv4k/ptKEUMYZ+i&#10;hiqENpXSFxVZ9DPXEkfv6DqLIcqulKbDIYbbRt4nyZO0WHP8UGFL64qK0/ZsNbwPOKwe1Gu/OR3X&#10;l/1u/vG9UaT17c24egERaAx/xzDhR3TII9PBndl40WiIRcLvnDw1V1Efpu1xoUDmmfzPn/8AAAD/&#10;/wMAUEsBAi0AFAAGAAgAAAAhALaDOJL+AAAA4QEAABMAAAAAAAAAAAAAAAAAAAAAAFtDb250ZW50&#10;X1R5cGVzXS54bWxQSwECLQAUAAYACAAAACEAOP0h/9YAAACUAQAACwAAAAAAAAAAAAAAAAAvAQAA&#10;X3JlbHMvLnJlbHNQSwECLQAUAAYACAAAACEAJKUMFU4DAAAnCwAADgAAAAAAAAAAAAAAAAAuAgAA&#10;ZHJzL2Uyb0RvYy54bWxQSwECLQAUAAYACAAAACEAYHUXcdwAAAAHAQAADwAAAAAAAAAAAAAAAACo&#10;BQAAZHJzL2Rvd25yZXYueG1sUEsFBgAAAAAEAAQA8wAAALEGA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2540;top:2413;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9swwAAANoAAAAPAAAAZHJzL2Rvd25yZXYueG1sRI/BbsIw&#10;EETvSPyDtUi9gdMWEUgxqEUCld4a+gGreBtHxOvUdkn69zUSEsfRzLzRrLeDbcWFfGgcK3icZSCI&#10;K6cbrhV8nfbTJYgQkTW2jknBHwXYbsajNRba9fxJlzLWIkE4FKjAxNgVUobKkMUwcx1x8r6dtxiT&#10;9LXUHvsEt618yrKFtNhwWjDY0c5QdS5/rYJjftr3sdp9PP8c3szyPM+b1cor9TAZXl9ARBriPXxr&#10;v2sFOVyvpBsgN/8AAAD//wMAUEsBAi0AFAAGAAgAAAAhANvh9svuAAAAhQEAABMAAAAAAAAAAAAA&#10;AAAAAAAAAFtDb250ZW50X1R5cGVzXS54bWxQSwECLQAUAAYACAAAACEAWvQsW78AAAAVAQAACwAA&#10;AAAAAAAAAAAAAAAfAQAAX3JlbHMvLnJlbHNQSwECLQAUAAYACAAAACEAYJPPbMMAAADaAAAADwAA&#10;AAAAAAAAAAAAAAAHAgAAZHJzL2Rvd25yZXYueG1sUEsFBgAAAAADAAMAtwAAAPcCAAAAAA==&#10;" fillcolor="white [3212]" stroked="f" strokeweight="1pt"/>
              <v:shape id="Right Triangle 6" o:spid="_x0000_s1028" type="#_x0000_t6" style="position:absolute;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pwwAAANoAAAAPAAAAZHJzL2Rvd25yZXYueG1sRI9BawIx&#10;FITvBf9DeIXearYFF12NUgttrbdVDx4fm+dm6eZl2aS66a83BcHjMDPfMIvVYFtxpt43jhW8jDMQ&#10;xJXTDdcKDvuP5ykIH5A1to5JQSQPq+XoYYGFdhcu6bwLtUgQ9gUqMCF0hZS+MmTRj11HnLyT6y2G&#10;JPta6h4vCW5b+ZplubTYcFow2NG7oepn92sV6FjG2aeN39tJPvk6mrieDn+lUk+Pw9scRKAh3MO3&#10;9kYryOH/SroBcnkFAAD//wMAUEsBAi0AFAAGAAgAAAAhANvh9svuAAAAhQEAABMAAAAAAAAAAAAA&#10;AAAAAAAAAFtDb250ZW50X1R5cGVzXS54bWxQSwECLQAUAAYACAAAACEAWvQsW78AAAAVAQAACwAA&#10;AAAAAAAAAAAAAAAfAQAAX3JlbHMvLnJlbHNQSwECLQAUAAYACAAAACEAJg10acMAAADaAAAADwAA&#10;AAAAAAAAAAAAAAAHAgAAZHJzL2Rvd25yZXYueG1sUEsFBgAAAAADAAMAtwAAAPcCAAAAAA==&#10;" fillcolor="#d9f0f1 [1304]"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Default="00117AC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Pr="000E6484" w:rsidRDefault="00117AC9" w:rsidP="000E648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C9" w:rsidRPr="00080615" w:rsidRDefault="00117AC9" w:rsidP="00080615">
    <w:pPr>
      <w:pStyle w:val="Header"/>
    </w:pPr>
    <w:r w:rsidRPr="00080615">
      <w:t>Client Name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77954BA"/>
    <w:multiLevelType w:val="hybridMultilevel"/>
    <w:tmpl w:val="679C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C92EA3"/>
    <w:multiLevelType w:val="hybridMultilevel"/>
    <w:tmpl w:val="A72E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1761EE"/>
    <w:multiLevelType w:val="multilevel"/>
    <w:tmpl w:val="131EEC6C"/>
    <w:numStyleLink w:val="TableNumbers"/>
  </w:abstractNum>
  <w:abstractNum w:abstractNumId="9" w15:restartNumberingAfterBreak="0">
    <w:nsid w:val="335A332E"/>
    <w:multiLevelType w:val="multilevel"/>
    <w:tmpl w:val="EDDCBB3C"/>
    <w:numStyleLink w:val="DefaultBullets"/>
  </w:abstractNum>
  <w:abstractNum w:abstractNumId="10"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615703"/>
    <w:multiLevelType w:val="multilevel"/>
    <w:tmpl w:val="803CF862"/>
    <w:numStyleLink w:val="List1Numbered"/>
  </w:abstractNum>
  <w:abstractNum w:abstractNumId="15"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F51665"/>
    <w:multiLevelType w:val="multilevel"/>
    <w:tmpl w:val="BA4CA9E6"/>
    <w:numStyleLink w:val="NumberedHeadings"/>
  </w:abstractNum>
  <w:abstractNum w:abstractNumId="17" w15:restartNumberingAfterBreak="0">
    <w:nsid w:val="5C283B55"/>
    <w:multiLevelType w:val="multilevel"/>
    <w:tmpl w:val="B29223F6"/>
    <w:numStyleLink w:val="FigureNumbers"/>
  </w:abstractNum>
  <w:abstractNum w:abstractNumId="18" w15:restartNumberingAfterBreak="0">
    <w:nsid w:val="651223CE"/>
    <w:multiLevelType w:val="hybridMultilevel"/>
    <w:tmpl w:val="513A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A4D83"/>
    <w:multiLevelType w:val="multilevel"/>
    <w:tmpl w:val="EDDCBB3C"/>
    <w:styleLink w:val="DefaultBullets"/>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0B67C4"/>
    <w:multiLevelType w:val="multilevel"/>
    <w:tmpl w:val="FE688822"/>
    <w:numStyleLink w:val="BoxedBullets"/>
  </w:abstractNum>
  <w:abstractNum w:abstractNumId="21" w15:restartNumberingAfterBreak="0">
    <w:nsid w:val="7EE44065"/>
    <w:multiLevelType w:val="multilevel"/>
    <w:tmpl w:val="CC9AB0EE"/>
    <w:numStyleLink w:val="AppendixNumbers"/>
  </w:abstractNum>
  <w:num w:numId="1">
    <w:abstractNumId w:val="1"/>
  </w:num>
  <w:num w:numId="2">
    <w:abstractNumId w:val="21"/>
  </w:num>
  <w:num w:numId="3">
    <w:abstractNumId w:val="12"/>
  </w:num>
  <w:num w:numId="4">
    <w:abstractNumId w:val="20"/>
  </w:num>
  <w:num w:numId="5">
    <w:abstractNumId w:val="11"/>
  </w:num>
  <w:num w:numId="6">
    <w:abstractNumId w:val="3"/>
  </w:num>
  <w:num w:numId="7">
    <w:abstractNumId w:val="16"/>
  </w:num>
  <w:num w:numId="8">
    <w:abstractNumId w:val="2"/>
  </w:num>
  <w:num w:numId="9">
    <w:abstractNumId w:val="14"/>
  </w:num>
  <w:num w:numId="10">
    <w:abstractNumId w:val="13"/>
  </w:num>
  <w:num w:numId="11">
    <w:abstractNumId w:val="7"/>
  </w:num>
  <w:num w:numId="12">
    <w:abstractNumId w:val="4"/>
  </w:num>
  <w:num w:numId="13">
    <w:abstractNumId w:val="19"/>
  </w:num>
  <w:num w:numId="14">
    <w:abstractNumId w:val="9"/>
  </w:num>
  <w:num w:numId="15">
    <w:abstractNumId w:val="6"/>
  </w:num>
  <w:num w:numId="16">
    <w:abstractNumId w:val="15"/>
  </w:num>
  <w:num w:numId="17">
    <w:abstractNumId w:val="10"/>
  </w:num>
  <w:num w:numId="18">
    <w:abstractNumId w:val="17"/>
  </w:num>
  <w:num w:numId="19">
    <w:abstractNumId w:val="8"/>
  </w:num>
  <w:num w:numId="20">
    <w:abstractNumId w:val="18"/>
  </w:num>
  <w:num w:numId="21">
    <w:abstractNumId w:val="5"/>
  </w:num>
  <w:num w:numId="2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5C"/>
    <w:rsid w:val="00041A9F"/>
    <w:rsid w:val="00067521"/>
    <w:rsid w:val="00077BF1"/>
    <w:rsid w:val="00080615"/>
    <w:rsid w:val="000B211F"/>
    <w:rsid w:val="000D43E2"/>
    <w:rsid w:val="000E6484"/>
    <w:rsid w:val="000E6C9D"/>
    <w:rsid w:val="00117AC9"/>
    <w:rsid w:val="00120B4D"/>
    <w:rsid w:val="00131CDE"/>
    <w:rsid w:val="0014112B"/>
    <w:rsid w:val="0014277F"/>
    <w:rsid w:val="001521AD"/>
    <w:rsid w:val="00154FA9"/>
    <w:rsid w:val="001A1AB1"/>
    <w:rsid w:val="001A1DB7"/>
    <w:rsid w:val="001C7017"/>
    <w:rsid w:val="001E2D08"/>
    <w:rsid w:val="002234F3"/>
    <w:rsid w:val="00254FC8"/>
    <w:rsid w:val="00272B6F"/>
    <w:rsid w:val="002804D3"/>
    <w:rsid w:val="002A539D"/>
    <w:rsid w:val="002B7DCA"/>
    <w:rsid w:val="002C5B3C"/>
    <w:rsid w:val="002D0A24"/>
    <w:rsid w:val="003314FC"/>
    <w:rsid w:val="00347CE8"/>
    <w:rsid w:val="00355F76"/>
    <w:rsid w:val="0037639D"/>
    <w:rsid w:val="00380E21"/>
    <w:rsid w:val="00384D31"/>
    <w:rsid w:val="003917CF"/>
    <w:rsid w:val="003F4753"/>
    <w:rsid w:val="003F6CF7"/>
    <w:rsid w:val="00400926"/>
    <w:rsid w:val="00401244"/>
    <w:rsid w:val="004154E2"/>
    <w:rsid w:val="00426023"/>
    <w:rsid w:val="00465A86"/>
    <w:rsid w:val="004767BB"/>
    <w:rsid w:val="004C7E4E"/>
    <w:rsid w:val="004D20D3"/>
    <w:rsid w:val="004D23C8"/>
    <w:rsid w:val="004E0395"/>
    <w:rsid w:val="004E3A37"/>
    <w:rsid w:val="004F3F27"/>
    <w:rsid w:val="00507FB1"/>
    <w:rsid w:val="0051357B"/>
    <w:rsid w:val="00520857"/>
    <w:rsid w:val="00534D53"/>
    <w:rsid w:val="00577F5F"/>
    <w:rsid w:val="005E1864"/>
    <w:rsid w:val="005F16C4"/>
    <w:rsid w:val="005F1AD4"/>
    <w:rsid w:val="00607B3B"/>
    <w:rsid w:val="006118C0"/>
    <w:rsid w:val="00613871"/>
    <w:rsid w:val="006349D9"/>
    <w:rsid w:val="00687428"/>
    <w:rsid w:val="00687647"/>
    <w:rsid w:val="00687E64"/>
    <w:rsid w:val="006D7FE0"/>
    <w:rsid w:val="00727733"/>
    <w:rsid w:val="007311DF"/>
    <w:rsid w:val="007C320A"/>
    <w:rsid w:val="007D2F52"/>
    <w:rsid w:val="007E43D0"/>
    <w:rsid w:val="007F3F2B"/>
    <w:rsid w:val="008621B5"/>
    <w:rsid w:val="00880543"/>
    <w:rsid w:val="008A2754"/>
    <w:rsid w:val="008B0C6C"/>
    <w:rsid w:val="008B2036"/>
    <w:rsid w:val="008B2E08"/>
    <w:rsid w:val="008B4BEB"/>
    <w:rsid w:val="008E21DE"/>
    <w:rsid w:val="008E6967"/>
    <w:rsid w:val="008F17EC"/>
    <w:rsid w:val="009129E1"/>
    <w:rsid w:val="0091492E"/>
    <w:rsid w:val="00920968"/>
    <w:rsid w:val="00924CC5"/>
    <w:rsid w:val="009254DE"/>
    <w:rsid w:val="0093202D"/>
    <w:rsid w:val="009379AD"/>
    <w:rsid w:val="0096035C"/>
    <w:rsid w:val="009615EF"/>
    <w:rsid w:val="009A236C"/>
    <w:rsid w:val="009A57B3"/>
    <w:rsid w:val="009E51C7"/>
    <w:rsid w:val="00A01A17"/>
    <w:rsid w:val="00A07E4A"/>
    <w:rsid w:val="00A505D5"/>
    <w:rsid w:val="00A72ED9"/>
    <w:rsid w:val="00A74B34"/>
    <w:rsid w:val="00AB12D5"/>
    <w:rsid w:val="00AF0899"/>
    <w:rsid w:val="00B03B4D"/>
    <w:rsid w:val="00B3255F"/>
    <w:rsid w:val="00B4215B"/>
    <w:rsid w:val="00B603C0"/>
    <w:rsid w:val="00B75365"/>
    <w:rsid w:val="00B761E6"/>
    <w:rsid w:val="00B776AB"/>
    <w:rsid w:val="00BE53E8"/>
    <w:rsid w:val="00C0421C"/>
    <w:rsid w:val="00C4003F"/>
    <w:rsid w:val="00C52457"/>
    <w:rsid w:val="00C65B0D"/>
    <w:rsid w:val="00C7165D"/>
    <w:rsid w:val="00C90CF3"/>
    <w:rsid w:val="00CB31F8"/>
    <w:rsid w:val="00D37A26"/>
    <w:rsid w:val="00D54D9B"/>
    <w:rsid w:val="00D557DB"/>
    <w:rsid w:val="00D57755"/>
    <w:rsid w:val="00D615E9"/>
    <w:rsid w:val="00D902B2"/>
    <w:rsid w:val="00D903EB"/>
    <w:rsid w:val="00D94D20"/>
    <w:rsid w:val="00DC222F"/>
    <w:rsid w:val="00DC41B7"/>
    <w:rsid w:val="00DF74BA"/>
    <w:rsid w:val="00E27B6E"/>
    <w:rsid w:val="00E34698"/>
    <w:rsid w:val="00E8151E"/>
    <w:rsid w:val="00E91596"/>
    <w:rsid w:val="00E92368"/>
    <w:rsid w:val="00E93CD0"/>
    <w:rsid w:val="00EB7F3A"/>
    <w:rsid w:val="00F703DF"/>
    <w:rsid w:val="00F82742"/>
    <w:rsid w:val="00F9318C"/>
    <w:rsid w:val="00FB03DD"/>
    <w:rsid w:val="00FC5740"/>
    <w:rsid w:val="00FD3051"/>
    <w:rsid w:val="00FE01EA"/>
    <w:rsid w:val="00FF4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BE0DF"/>
  <w15:docId w15:val="{190343A2-76E1-4941-B303-4833E994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14"/>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8"/>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5"/>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22"/>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6"/>
      </w:numPr>
      <w:ind w:left="1247" w:hanging="1247"/>
    </w:pPr>
  </w:style>
  <w:style w:type="paragraph" w:customStyle="1" w:styleId="PullOut-Yellow">
    <w:name w:val="Pull Out - Yellow"/>
    <w:basedOn w:val="PullOut-Teal"/>
    <w:qFormat/>
    <w:rsid w:val="00400926"/>
    <w:pPr>
      <w:numPr>
        <w:numId w:val="17"/>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styleId="ListParagraph">
    <w:name w:val="List Paragraph"/>
    <w:basedOn w:val="Normal"/>
    <w:uiPriority w:val="34"/>
    <w:qFormat/>
    <w:rsid w:val="00380E21"/>
    <w:pPr>
      <w:ind w:left="720"/>
      <w:contextualSpacing/>
    </w:pPr>
  </w:style>
  <w:style w:type="character" w:styleId="CommentReference">
    <w:name w:val="annotation reference"/>
    <w:basedOn w:val="DefaultParagraphFont"/>
    <w:uiPriority w:val="99"/>
    <w:semiHidden/>
    <w:unhideWhenUsed/>
    <w:rsid w:val="008A2754"/>
    <w:rPr>
      <w:sz w:val="16"/>
      <w:szCs w:val="16"/>
    </w:rPr>
  </w:style>
  <w:style w:type="paragraph" w:styleId="CommentText">
    <w:name w:val="annotation text"/>
    <w:basedOn w:val="Normal"/>
    <w:link w:val="CommentTextChar"/>
    <w:uiPriority w:val="99"/>
    <w:semiHidden/>
    <w:unhideWhenUsed/>
    <w:rsid w:val="008A2754"/>
    <w:rPr>
      <w:sz w:val="20"/>
      <w:szCs w:val="20"/>
    </w:rPr>
  </w:style>
  <w:style w:type="character" w:customStyle="1" w:styleId="CommentTextChar">
    <w:name w:val="Comment Text Char"/>
    <w:basedOn w:val="DefaultParagraphFont"/>
    <w:link w:val="CommentText"/>
    <w:uiPriority w:val="99"/>
    <w:semiHidden/>
    <w:rsid w:val="008A2754"/>
    <w:rPr>
      <w:sz w:val="20"/>
      <w:szCs w:val="20"/>
    </w:rPr>
  </w:style>
  <w:style w:type="paragraph" w:styleId="CommentSubject">
    <w:name w:val="annotation subject"/>
    <w:basedOn w:val="CommentText"/>
    <w:next w:val="CommentText"/>
    <w:link w:val="CommentSubjectChar"/>
    <w:uiPriority w:val="99"/>
    <w:semiHidden/>
    <w:unhideWhenUsed/>
    <w:rsid w:val="008A2754"/>
    <w:rPr>
      <w:b/>
      <w:bCs/>
    </w:rPr>
  </w:style>
  <w:style w:type="character" w:customStyle="1" w:styleId="CommentSubjectChar">
    <w:name w:val="Comment Subject Char"/>
    <w:basedOn w:val="CommentTextChar"/>
    <w:link w:val="CommentSubject"/>
    <w:uiPriority w:val="99"/>
    <w:semiHidden/>
    <w:rsid w:val="008A2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2.xml><?xml version="1.0" encoding="utf-8"?>
<ds:datastoreItem xmlns:ds="http://schemas.openxmlformats.org/officeDocument/2006/customXml" ds:itemID="{93509665-42C1-46F9-9567-DE77E788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4F7F5-F729-406E-94C0-BA3232646C99}">
  <ds:schemaRefs>
    <ds:schemaRef ds:uri="c7dac4e8-3feb-44f4-96ca-b86e7c14d0f6"/>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336C081-7CD7-45BA-80F1-46F163E1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29</TotalTime>
  <Pages>10</Pages>
  <Words>3269</Words>
  <Characters>18634</Characters>
  <Application>Microsoft Office Word</Application>
  <DocSecurity>0</DocSecurity>
  <Lines>351</Lines>
  <Paragraphs>136</Paragraphs>
  <ScaleCrop>false</ScaleCrop>
  <HeadingPairs>
    <vt:vector size="2" baseType="variant">
      <vt:variant>
        <vt:lpstr>Title</vt:lpstr>
      </vt:variant>
      <vt:variant>
        <vt:i4>1</vt:i4>
      </vt:variant>
    </vt:vector>
  </HeadingPairs>
  <TitlesOfParts>
    <vt:vector size="1" baseType="lpstr">
      <vt:lpstr>Report Template</vt:lpstr>
    </vt:vector>
  </TitlesOfParts>
  <Company>Tertiary Education Quality and Standards Agency</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Ben Fulford</dc:creator>
  <cp:lastModifiedBy>May, Raphael</cp:lastModifiedBy>
  <cp:revision>3</cp:revision>
  <dcterms:created xsi:type="dcterms:W3CDTF">2018-08-03T06:18:00Z</dcterms:created>
  <dcterms:modified xsi:type="dcterms:W3CDTF">2018-08-03T06:47:00Z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y fmtid="{D5CDD505-2E9C-101B-9397-08002B2CF9AE}" pid="4" name="TitusGUID">
    <vt:lpwstr>756fb604-27b2-49ed-aeff-1a155ee547be</vt:lpwstr>
  </property>
</Properties>
</file>