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F137" w14:textId="36033013" w:rsidR="00182C60" w:rsidRPr="00182C60" w:rsidRDefault="00DA7BCF" w:rsidP="00182C60">
      <w:pPr>
        <w:pStyle w:val="Heading2"/>
      </w:pPr>
      <w:r>
        <w:t>Guide to</w:t>
      </w:r>
      <w:r w:rsidR="003B414F">
        <w:t xml:space="preserve"> </w:t>
      </w:r>
      <w:r w:rsidR="00FE29FA">
        <w:t>c</w:t>
      </w:r>
      <w:r w:rsidR="00182C60" w:rsidRPr="00182C60">
        <w:t>onditions</w:t>
      </w:r>
    </w:p>
    <w:p w14:paraId="1F998E1E" w14:textId="77777777" w:rsidR="00A80004" w:rsidRDefault="00A80004" w:rsidP="00A80004">
      <w:pPr>
        <w:pStyle w:val="Heading3"/>
      </w:pPr>
      <w:r>
        <w:t>Introduction</w:t>
      </w:r>
    </w:p>
    <w:p w14:paraId="6D39CB8D" w14:textId="77777777" w:rsidR="001C1D65" w:rsidRDefault="001C1D65" w:rsidP="001C1D65">
      <w:pPr>
        <w:ind w:right="-46"/>
      </w:pPr>
      <w:r>
        <w:t>This document provides guidance about TEQSA’s use of conditions.</w:t>
      </w:r>
    </w:p>
    <w:p w14:paraId="5D42C1B4" w14:textId="77777777" w:rsidR="001C1D65" w:rsidRDefault="001C1D65" w:rsidP="001C1D65">
      <w:pPr>
        <w:ind w:right="-46"/>
        <w:rPr>
          <w:rFonts w:cstheme="minorHAnsi"/>
        </w:rPr>
      </w:pPr>
      <w:r>
        <w:t>TEQSA imposes conditions on</w:t>
      </w:r>
      <w:r>
        <w:rPr>
          <w:rFonts w:cstheme="minorHAnsi"/>
        </w:rPr>
        <w:t xml:space="preserve"> a </w:t>
      </w:r>
      <w:r>
        <w:t>provider’s registration or the accreditation</w:t>
      </w:r>
      <w:r>
        <w:rPr>
          <w:rFonts w:cstheme="minorHAnsi"/>
        </w:rPr>
        <w:t xml:space="preserve"> </w:t>
      </w:r>
      <w:r w:rsidRPr="00852B1E">
        <w:t>of a course of study</w:t>
      </w:r>
      <w:r>
        <w:rPr>
          <w:rFonts w:cstheme="minorHAnsi"/>
        </w:rPr>
        <w:t xml:space="preserve"> to </w:t>
      </w:r>
      <w:r w:rsidRPr="00852B1E">
        <w:t>address concerns or areas of risk in relation to a provide</w:t>
      </w:r>
      <w:r>
        <w:t>r’s operations</w:t>
      </w:r>
      <w:r>
        <w:rPr>
          <w:rFonts w:cstheme="minorHAnsi"/>
        </w:rPr>
        <w:t>.</w:t>
      </w:r>
      <w:r w:rsidRPr="009109FA">
        <w:rPr>
          <w:rFonts w:cstheme="minorHAnsi"/>
        </w:rPr>
        <w:t xml:space="preserve"> </w:t>
      </w:r>
      <w:r>
        <w:rPr>
          <w:rFonts w:cstheme="minorHAnsi"/>
        </w:rPr>
        <w:t>The use of conditions enables providers to continue operating while working towards full compliance with their obligations as registered higher education providers.</w:t>
      </w:r>
    </w:p>
    <w:p w14:paraId="650DFC5E" w14:textId="7075161B" w:rsidR="001C1D65" w:rsidRPr="00D43965" w:rsidRDefault="001C1D65" w:rsidP="001C1D65">
      <w:pPr>
        <w:ind w:right="-46"/>
      </w:pPr>
      <w:r>
        <w:t xml:space="preserve">Conditions are imposed by TEQSA under subsections 32(1) or 53(1) of the </w:t>
      </w:r>
      <w:r w:rsidRPr="00D43965">
        <w:rPr>
          <w:i/>
        </w:rPr>
        <w:t xml:space="preserve">Tertiary Education Quality and Standards Act 2011 </w:t>
      </w:r>
      <w:r w:rsidRPr="00D43965">
        <w:t>(TEQSA Act)</w:t>
      </w:r>
      <w:r>
        <w:t xml:space="preserve">, or subsections </w:t>
      </w:r>
      <w:r w:rsidR="00CB6D2E">
        <w:t>10B (</w:t>
      </w:r>
      <w:r>
        <w:t xml:space="preserve">1) or 83(3) of the </w:t>
      </w:r>
      <w:r w:rsidRPr="00D43965">
        <w:rPr>
          <w:i/>
        </w:rPr>
        <w:t>Education Services for Overseas Students Act 2000</w:t>
      </w:r>
      <w:r>
        <w:t xml:space="preserve"> (ESOS Act). Additionally, all registered </w:t>
      </w:r>
      <w:r w:rsidRPr="00D43965">
        <w:t xml:space="preserve">higher education providers must comply with the conditions </w:t>
      </w:r>
      <w:r>
        <w:t xml:space="preserve">of registration set out in sections 25 to </w:t>
      </w:r>
      <w:r w:rsidRPr="00D43965">
        <w:t>31 of the</w:t>
      </w:r>
      <w:r>
        <w:t xml:space="preserve"> TEQSA Act.</w:t>
      </w:r>
    </w:p>
    <w:p w14:paraId="1B5692C5" w14:textId="77777777" w:rsidR="00083AE7" w:rsidRPr="00782F11" w:rsidRDefault="00083AE7" w:rsidP="00782F11">
      <w:pPr>
        <w:pStyle w:val="Heading3"/>
      </w:pPr>
      <w:r w:rsidRPr="00782F11">
        <w:t>Imposing conditions</w:t>
      </w:r>
    </w:p>
    <w:p w14:paraId="634951F3" w14:textId="0270BC88" w:rsidR="006D49B0" w:rsidRDefault="006D49B0" w:rsidP="0028041D">
      <w:pPr>
        <w:pStyle w:val="Bullet1"/>
        <w:numPr>
          <w:ilvl w:val="0"/>
          <w:numId w:val="0"/>
        </w:numPr>
      </w:pPr>
      <w:r>
        <w:t xml:space="preserve">Generally, a condition can be imposed on a provider where TEQSA identifies a material risk it seeks to </w:t>
      </w:r>
      <w:r w:rsidR="008D4EF3">
        <w:t xml:space="preserve">prevent, </w:t>
      </w:r>
      <w:r>
        <w:t xml:space="preserve">monitor or mitigate. </w:t>
      </w:r>
    </w:p>
    <w:p w14:paraId="55CA9FC0" w14:textId="45B0C8B6" w:rsidR="00876BAD" w:rsidRDefault="00131686" w:rsidP="0028041D">
      <w:pPr>
        <w:pStyle w:val="Bullet1"/>
        <w:numPr>
          <w:ilvl w:val="0"/>
          <w:numId w:val="0"/>
        </w:numPr>
      </w:pPr>
      <w:r>
        <w:t>TEQSA</w:t>
      </w:r>
      <w:r w:rsidR="00392F66">
        <w:t xml:space="preserve"> must apply </w:t>
      </w:r>
      <w:r w:rsidR="00876BAD" w:rsidRPr="00D43965">
        <w:t>the</w:t>
      </w:r>
      <w:r w:rsidR="00392F66">
        <w:t xml:space="preserve"> </w:t>
      </w:r>
      <w:r w:rsidR="00876BAD">
        <w:t>principles of</w:t>
      </w:r>
      <w:r w:rsidR="00876BAD" w:rsidRPr="00D43965">
        <w:t xml:space="preserve"> regulatory necessity, reflecting ri</w:t>
      </w:r>
      <w:r w:rsidR="00876BAD">
        <w:t>sk and proportionate regulation</w:t>
      </w:r>
      <w:r w:rsidR="00876BAD">
        <w:rPr>
          <w:rStyle w:val="FootnoteReference"/>
        </w:rPr>
        <w:footnoteReference w:id="1"/>
      </w:r>
      <w:r w:rsidR="00876BAD" w:rsidRPr="00D43965">
        <w:t xml:space="preserve"> </w:t>
      </w:r>
      <w:r w:rsidR="00392F66">
        <w:t>w</w:t>
      </w:r>
      <w:r w:rsidR="00392F66" w:rsidRPr="00D43965">
        <w:t>hen</w:t>
      </w:r>
      <w:r w:rsidR="006D49B0">
        <w:t xml:space="preserve"> determining whether to</w:t>
      </w:r>
      <w:r w:rsidR="00392F66" w:rsidRPr="00D43965">
        <w:t xml:space="preserve"> impos</w:t>
      </w:r>
      <w:r w:rsidR="006D49B0">
        <w:t>e</w:t>
      </w:r>
      <w:r w:rsidR="00392F66" w:rsidRPr="00D43965">
        <w:t xml:space="preserve"> a condition</w:t>
      </w:r>
      <w:r w:rsidR="00392F66">
        <w:t>. For instance, it may be more appropriate for</w:t>
      </w:r>
      <w:r w:rsidR="00876BAD" w:rsidRPr="00D43965">
        <w:t xml:space="preserve"> </w:t>
      </w:r>
      <w:r w:rsidR="00392F66">
        <w:t>TEQSA to</w:t>
      </w:r>
      <w:r w:rsidR="00B827A4">
        <w:t xml:space="preserve"> </w:t>
      </w:r>
      <w:r w:rsidR="00392F66" w:rsidRPr="00D43965">
        <w:t>request information</w:t>
      </w:r>
      <w:r w:rsidR="00392F66">
        <w:t xml:space="preserve"> from </w:t>
      </w:r>
      <w:r w:rsidR="00AB6DB5">
        <w:t>a</w:t>
      </w:r>
      <w:r w:rsidR="00392F66">
        <w:t xml:space="preserve"> provider rather </w:t>
      </w:r>
      <w:r w:rsidR="00876BAD" w:rsidRPr="00D43965">
        <w:t>than imposing a condition.</w:t>
      </w:r>
      <w:r w:rsidR="00876BAD">
        <w:t xml:space="preserve"> </w:t>
      </w:r>
      <w:r w:rsidR="002D68DE">
        <w:t xml:space="preserve"> </w:t>
      </w:r>
    </w:p>
    <w:p w14:paraId="7E9B470F" w14:textId="2200746F" w:rsidR="002D68DE" w:rsidRPr="002D68DE" w:rsidRDefault="002D68DE" w:rsidP="002D68DE">
      <w:pPr>
        <w:pStyle w:val="BodyText"/>
        <w:spacing w:before="120" w:after="120"/>
        <w:ind w:right="-46"/>
        <w:rPr>
          <w:sz w:val="22"/>
          <w:szCs w:val="22"/>
        </w:rPr>
      </w:pPr>
      <w:r>
        <w:rPr>
          <w:sz w:val="22"/>
          <w:szCs w:val="22"/>
        </w:rPr>
        <w:t>Conditions may also be imposed in order to give TEQSA visibility of a particular issue to enable TEQSA to reach a clearer view on the associated level of risk. Again, the condition should be explicit in its purpose and the documentation required in order for the condition to be satisfied.</w:t>
      </w:r>
    </w:p>
    <w:p w14:paraId="595F7B2A" w14:textId="77777777" w:rsidR="00392F66" w:rsidRDefault="00876BAD" w:rsidP="00740C06">
      <w:pPr>
        <w:pStyle w:val="NormalIndent5mm"/>
        <w:ind w:left="0" w:right="95"/>
      </w:pPr>
      <w:r>
        <w:t>A condition is an adverse outcome</w:t>
      </w:r>
      <w:r w:rsidR="00782F11">
        <w:t xml:space="preserve">. Therefore, </w:t>
      </w:r>
      <w:r w:rsidR="006D49B0">
        <w:t xml:space="preserve">when </w:t>
      </w:r>
      <w:r w:rsidR="00083AE7">
        <w:t>TEQSA</w:t>
      </w:r>
      <w:r>
        <w:t xml:space="preserve"> </w:t>
      </w:r>
      <w:r w:rsidR="006D49B0">
        <w:t xml:space="preserve">recommends the imposition of a condition, TEQSA </w:t>
      </w:r>
      <w:r>
        <w:t xml:space="preserve">must </w:t>
      </w:r>
      <w:r w:rsidR="00782F11">
        <w:t>give</w:t>
      </w:r>
      <w:r>
        <w:t xml:space="preserve"> </w:t>
      </w:r>
      <w:r w:rsidR="006D49B0">
        <w:t>the affected</w:t>
      </w:r>
      <w:r w:rsidR="00392F66">
        <w:t xml:space="preserve"> provider:</w:t>
      </w:r>
    </w:p>
    <w:p w14:paraId="3F04E21C" w14:textId="77777777" w:rsidR="00392F66" w:rsidRDefault="00392F66" w:rsidP="00392F66">
      <w:pPr>
        <w:pStyle w:val="Bullet1"/>
      </w:pPr>
      <w:r>
        <w:t>written reasons for the recommendation to impose</w:t>
      </w:r>
      <w:r w:rsidR="00083AE7">
        <w:t xml:space="preserve"> </w:t>
      </w:r>
      <w:r w:rsidR="00083AE7" w:rsidRPr="00D43965">
        <w:t>a condition</w:t>
      </w:r>
    </w:p>
    <w:p w14:paraId="39631C92" w14:textId="1D350DBE" w:rsidR="00083AE7" w:rsidRDefault="00083AE7" w:rsidP="00392F66">
      <w:pPr>
        <w:pStyle w:val="Bullet1"/>
      </w:pPr>
      <w:r w:rsidRPr="00D43965">
        <w:t>an opportuni</w:t>
      </w:r>
      <w:r w:rsidR="006D49B0">
        <w:t xml:space="preserve">ty to comment on the evidence, facts </w:t>
      </w:r>
      <w:r w:rsidRPr="00D43965">
        <w:t xml:space="preserve">and reasoning </w:t>
      </w:r>
      <w:r w:rsidR="00392F66">
        <w:t xml:space="preserve">relating to the </w:t>
      </w:r>
      <w:r w:rsidRPr="00D43965">
        <w:t>condition</w:t>
      </w:r>
      <w:r w:rsidR="00392F66">
        <w:t>(s)</w:t>
      </w:r>
      <w:r w:rsidR="006D49B0">
        <w:t xml:space="preserve"> being </w:t>
      </w:r>
      <w:r w:rsidR="00782F11">
        <w:t>imposed</w:t>
      </w:r>
      <w:r w:rsidRPr="00D43965">
        <w:t>.</w:t>
      </w:r>
      <w:r w:rsidR="00876BAD">
        <w:t xml:space="preserve"> </w:t>
      </w:r>
    </w:p>
    <w:p w14:paraId="175CE56D" w14:textId="09971807" w:rsidR="00F14570" w:rsidRDefault="00F14570" w:rsidP="00966628">
      <w:pPr>
        <w:pStyle w:val="Heading4"/>
      </w:pPr>
      <w:r>
        <w:t xml:space="preserve">Regulatory requirements </w:t>
      </w:r>
    </w:p>
    <w:p w14:paraId="2C09C8DE" w14:textId="2813421F" w:rsidR="00F14570" w:rsidRPr="00966628" w:rsidRDefault="00F14570" w:rsidP="00966628">
      <w:pPr>
        <w:pStyle w:val="CommentText"/>
        <w:rPr>
          <w:sz w:val="22"/>
          <w:szCs w:val="22"/>
        </w:rPr>
      </w:pPr>
      <w:r w:rsidRPr="00966628">
        <w:rPr>
          <w:sz w:val="22"/>
          <w:szCs w:val="22"/>
        </w:rPr>
        <w:t>Generally, TEQSA</w:t>
      </w:r>
      <w:r w:rsidR="00170839" w:rsidRPr="00966628">
        <w:rPr>
          <w:sz w:val="22"/>
          <w:szCs w:val="22"/>
        </w:rPr>
        <w:t xml:space="preserve"> need</w:t>
      </w:r>
      <w:r w:rsidRPr="00966628">
        <w:rPr>
          <w:sz w:val="22"/>
          <w:szCs w:val="22"/>
        </w:rPr>
        <w:t>s</w:t>
      </w:r>
      <w:r w:rsidR="00170839" w:rsidRPr="00966628">
        <w:rPr>
          <w:sz w:val="22"/>
          <w:szCs w:val="22"/>
        </w:rPr>
        <w:t xml:space="preserve"> to give reasonable notice of, and a reasonable opportunity to respond to, the decision which is being considered, the issues on which the decision will turn, and the evidence on which the decision will be based.</w:t>
      </w:r>
    </w:p>
    <w:p w14:paraId="3514DA20" w14:textId="77777777" w:rsidR="00F14570" w:rsidRPr="00966628" w:rsidRDefault="00F14570" w:rsidP="00883D88">
      <w:pPr>
        <w:pStyle w:val="Heading4"/>
      </w:pPr>
      <w:r w:rsidRPr="00966628">
        <w:lastRenderedPageBreak/>
        <w:t>TEQSA Act</w:t>
      </w:r>
    </w:p>
    <w:p w14:paraId="1A8D14F2" w14:textId="182BF81E" w:rsidR="00F14570" w:rsidRDefault="00F14570" w:rsidP="00F14570">
      <w:pPr>
        <w:pStyle w:val="Bullet1"/>
        <w:numPr>
          <w:ilvl w:val="0"/>
          <w:numId w:val="0"/>
        </w:numPr>
      </w:pPr>
      <w:r>
        <w:t>Under s</w:t>
      </w:r>
      <w:r w:rsidR="00883D88">
        <w:t xml:space="preserve">ection </w:t>
      </w:r>
      <w:r>
        <w:t>33 of the TEQSA Act, where a condition restricts or removes the self-accrediting authority of a university, TEQSA must give the provider and relevant Ministers notice of an intention to impose a condition for specified reasons, and a reasonable opportunity to make representations.</w:t>
      </w:r>
    </w:p>
    <w:p w14:paraId="20A46DE9" w14:textId="43939C09" w:rsidR="00F14570" w:rsidRPr="00966628" w:rsidRDefault="00755C0F" w:rsidP="00883D88">
      <w:pPr>
        <w:pStyle w:val="Bullet1"/>
        <w:numPr>
          <w:ilvl w:val="0"/>
          <w:numId w:val="0"/>
        </w:numPr>
      </w:pPr>
      <w:r>
        <w:t>In addition, u</w:t>
      </w:r>
      <w:r w:rsidR="00117AE0" w:rsidRPr="00117AE0">
        <w:t>nder s</w:t>
      </w:r>
      <w:r w:rsidR="00883D88">
        <w:t xml:space="preserve">ection </w:t>
      </w:r>
      <w:r w:rsidR="00117AE0" w:rsidRPr="00117AE0">
        <w:t>34 of the TEQSA Act</w:t>
      </w:r>
      <w:r w:rsidR="00117AE0">
        <w:t xml:space="preserve">, </w:t>
      </w:r>
      <w:r w:rsidR="00117AE0" w:rsidRPr="00D43965">
        <w:t>TEQSA must notify a provider of a decision to impose</w:t>
      </w:r>
      <w:r w:rsidR="00117AE0">
        <w:t xml:space="preserve"> </w:t>
      </w:r>
      <w:r w:rsidR="00117AE0" w:rsidRPr="00D43965">
        <w:t xml:space="preserve">a condition within 30 days of </w:t>
      </w:r>
      <w:r w:rsidR="00117AE0">
        <w:t xml:space="preserve">the </w:t>
      </w:r>
      <w:r w:rsidR="00117AE0" w:rsidRPr="00D43965">
        <w:t>decision</w:t>
      </w:r>
      <w:r w:rsidR="00117AE0">
        <w:t xml:space="preserve"> being made</w:t>
      </w:r>
      <w:r w:rsidR="00117AE0" w:rsidRPr="00D43965">
        <w:t>. The notification must include the decision, the reasons for the d</w:t>
      </w:r>
      <w:r w:rsidR="00117AE0">
        <w:t xml:space="preserve">ecision and the period </w:t>
      </w:r>
      <w:r w:rsidR="00117AE0" w:rsidRPr="00CA47AD">
        <w:t>for which the condition is imposed</w:t>
      </w:r>
      <w:r w:rsidR="00117AE0" w:rsidRPr="00D43965">
        <w:t>.</w:t>
      </w:r>
    </w:p>
    <w:p w14:paraId="2E7E93FA" w14:textId="6FB57DB5" w:rsidR="00F14570" w:rsidRPr="00966628" w:rsidRDefault="00F14570" w:rsidP="00883D88">
      <w:pPr>
        <w:pStyle w:val="Heading4"/>
      </w:pPr>
      <w:r w:rsidRPr="00966628">
        <w:t>ESOS Act</w:t>
      </w:r>
    </w:p>
    <w:p w14:paraId="4B9A0ABA" w14:textId="3CEDE2FF" w:rsidR="00170839" w:rsidRDefault="00170839" w:rsidP="00966628">
      <w:pPr>
        <w:pStyle w:val="CommentText"/>
        <w:rPr>
          <w:sz w:val="22"/>
          <w:szCs w:val="22"/>
        </w:rPr>
      </w:pPr>
      <w:r w:rsidRPr="00966628">
        <w:rPr>
          <w:sz w:val="22"/>
          <w:szCs w:val="22"/>
        </w:rPr>
        <w:t>Under s</w:t>
      </w:r>
      <w:r w:rsidR="00883D88">
        <w:rPr>
          <w:sz w:val="22"/>
          <w:szCs w:val="22"/>
        </w:rPr>
        <w:t xml:space="preserve">ection </w:t>
      </w:r>
      <w:r w:rsidRPr="00966628">
        <w:rPr>
          <w:sz w:val="22"/>
          <w:szCs w:val="22"/>
        </w:rPr>
        <w:t xml:space="preserve">93 of the ESOS Act, there is an obligation to provide a written notice </w:t>
      </w:r>
      <w:r w:rsidR="00CA47AD">
        <w:rPr>
          <w:sz w:val="22"/>
          <w:szCs w:val="22"/>
        </w:rPr>
        <w:t>to a provider notifying them that TEQSA is</w:t>
      </w:r>
      <w:r w:rsidRPr="00966628">
        <w:rPr>
          <w:sz w:val="22"/>
          <w:szCs w:val="22"/>
        </w:rPr>
        <w:t xml:space="preserve"> considering imposing or varying a condition, and affording a provider a minimum period to give written submissions.</w:t>
      </w:r>
    </w:p>
    <w:p w14:paraId="4A06FF0A" w14:textId="2CB53066" w:rsidR="00117AE0" w:rsidRDefault="00117AE0" w:rsidP="00966628">
      <w:pPr>
        <w:pStyle w:val="CommentText"/>
        <w:rPr>
          <w:sz w:val="22"/>
          <w:szCs w:val="22"/>
        </w:rPr>
      </w:pPr>
    </w:p>
    <w:p w14:paraId="3E0E8209" w14:textId="0C2AD43D" w:rsidR="00117AE0" w:rsidRPr="00966628" w:rsidRDefault="00755C0F" w:rsidP="00966628">
      <w:pPr>
        <w:pStyle w:val="CommentText"/>
        <w:rPr>
          <w:sz w:val="22"/>
          <w:szCs w:val="22"/>
        </w:rPr>
      </w:pPr>
      <w:r>
        <w:rPr>
          <w:sz w:val="22"/>
          <w:szCs w:val="22"/>
        </w:rPr>
        <w:t xml:space="preserve">Further, under </w:t>
      </w:r>
      <w:r w:rsidRPr="00117AE0">
        <w:rPr>
          <w:sz w:val="22"/>
          <w:szCs w:val="22"/>
        </w:rPr>
        <w:t>s</w:t>
      </w:r>
      <w:r w:rsidR="00883D88">
        <w:rPr>
          <w:sz w:val="22"/>
          <w:szCs w:val="22"/>
        </w:rPr>
        <w:t xml:space="preserve">ection </w:t>
      </w:r>
      <w:r w:rsidRPr="00117AE0">
        <w:rPr>
          <w:sz w:val="22"/>
          <w:szCs w:val="22"/>
        </w:rPr>
        <w:t>169AC of the ESOS Act</w:t>
      </w:r>
      <w:r>
        <w:rPr>
          <w:sz w:val="22"/>
          <w:szCs w:val="22"/>
        </w:rPr>
        <w:t xml:space="preserve">, TEQSA must provide an affected provider with written notice of a decision to impose a condition as soon as practicable. </w:t>
      </w:r>
    </w:p>
    <w:p w14:paraId="3C527E02" w14:textId="77777777" w:rsidR="0028041D" w:rsidRDefault="0028041D" w:rsidP="0028041D">
      <w:pPr>
        <w:pStyle w:val="Heading3"/>
      </w:pPr>
      <w:r>
        <w:t>Review rights</w:t>
      </w:r>
    </w:p>
    <w:p w14:paraId="43B8D81C" w14:textId="1B048568" w:rsidR="0028041D" w:rsidRPr="00883D88" w:rsidRDefault="0028041D" w:rsidP="0028041D">
      <w:pPr>
        <w:pStyle w:val="BodyText"/>
        <w:spacing w:before="120" w:after="120"/>
        <w:ind w:right="-46"/>
        <w:rPr>
          <w:sz w:val="22"/>
          <w:szCs w:val="22"/>
        </w:rPr>
      </w:pPr>
      <w:r w:rsidRPr="00D43965">
        <w:rPr>
          <w:sz w:val="22"/>
          <w:szCs w:val="22"/>
        </w:rPr>
        <w:t>If a decision to impose or vary a condition on a provider’s registration or course accreditation is made by a delegate of TEQSA, the provider may apply for internal review of the decision.</w:t>
      </w:r>
      <w:r w:rsidR="00426686">
        <w:rPr>
          <w:sz w:val="22"/>
          <w:szCs w:val="22"/>
        </w:rPr>
        <w:t xml:space="preserve"> </w:t>
      </w:r>
      <w:r w:rsidR="00426686" w:rsidRPr="00883D88">
        <w:rPr>
          <w:sz w:val="22"/>
          <w:szCs w:val="22"/>
        </w:rPr>
        <w:t>Under s</w:t>
      </w:r>
      <w:r w:rsidR="00883D88" w:rsidRPr="00883D88">
        <w:rPr>
          <w:sz w:val="22"/>
          <w:szCs w:val="22"/>
        </w:rPr>
        <w:t xml:space="preserve">ection </w:t>
      </w:r>
      <w:r w:rsidR="00CB6D2E" w:rsidRPr="00883D88">
        <w:rPr>
          <w:sz w:val="22"/>
          <w:szCs w:val="22"/>
        </w:rPr>
        <w:t>169AG (</w:t>
      </w:r>
      <w:r w:rsidR="00426686" w:rsidRPr="00883D88">
        <w:rPr>
          <w:sz w:val="22"/>
          <w:szCs w:val="22"/>
        </w:rPr>
        <w:t>1)(a) of the ESOS Act, a provider can also apply to the Administrative Appeals Tribunal (AAT) for review of a decision by a delegate.</w:t>
      </w:r>
    </w:p>
    <w:p w14:paraId="25478BA8" w14:textId="7C29B01E" w:rsidR="0028041D" w:rsidRPr="00883D88" w:rsidRDefault="0028041D" w:rsidP="0028041D">
      <w:pPr>
        <w:pStyle w:val="BodyText"/>
        <w:spacing w:before="120" w:after="120"/>
        <w:ind w:right="-46"/>
        <w:rPr>
          <w:sz w:val="22"/>
          <w:szCs w:val="22"/>
        </w:rPr>
      </w:pPr>
      <w:r w:rsidRPr="00883D88">
        <w:rPr>
          <w:sz w:val="22"/>
          <w:szCs w:val="22"/>
        </w:rPr>
        <w:t xml:space="preserve">If a decision to impose or vary a condition on a provider’s registration or course accreditation is made by the Commissioners collectively, the provider may apply to the </w:t>
      </w:r>
      <w:r w:rsidR="00426686" w:rsidRPr="00883D88">
        <w:rPr>
          <w:sz w:val="22"/>
          <w:szCs w:val="22"/>
        </w:rPr>
        <w:t xml:space="preserve">AAT </w:t>
      </w:r>
      <w:r w:rsidRPr="00883D88">
        <w:rPr>
          <w:sz w:val="22"/>
          <w:szCs w:val="22"/>
        </w:rPr>
        <w:t>for review of the decision.</w:t>
      </w:r>
      <w:r w:rsidR="00426686" w:rsidRPr="00883D88">
        <w:rPr>
          <w:sz w:val="22"/>
          <w:szCs w:val="22"/>
        </w:rPr>
        <w:t xml:space="preserve"> Under s</w:t>
      </w:r>
      <w:r w:rsidR="00883D88">
        <w:rPr>
          <w:sz w:val="22"/>
          <w:szCs w:val="22"/>
        </w:rPr>
        <w:t xml:space="preserve">ection </w:t>
      </w:r>
      <w:r w:rsidR="00CB6D2E" w:rsidRPr="00883D88">
        <w:rPr>
          <w:sz w:val="22"/>
          <w:szCs w:val="22"/>
        </w:rPr>
        <w:t>169AG (</w:t>
      </w:r>
      <w:r w:rsidR="00426686" w:rsidRPr="00883D88">
        <w:rPr>
          <w:sz w:val="22"/>
          <w:szCs w:val="22"/>
        </w:rPr>
        <w:t>1</w:t>
      </w:r>
      <w:r w:rsidR="00CB6D2E" w:rsidRPr="00883D88">
        <w:rPr>
          <w:sz w:val="22"/>
          <w:szCs w:val="22"/>
        </w:rPr>
        <w:t>) (</w:t>
      </w:r>
      <w:r w:rsidR="00426686" w:rsidRPr="00883D88">
        <w:rPr>
          <w:sz w:val="22"/>
          <w:szCs w:val="22"/>
        </w:rPr>
        <w:t>a) of the ESOS Act, a provider can also apply to the AAT for review of a decision by a delegate.</w:t>
      </w:r>
    </w:p>
    <w:p w14:paraId="44C56B92" w14:textId="6295450B" w:rsidR="0028041D" w:rsidRDefault="00755C0F" w:rsidP="0028041D">
      <w:pPr>
        <w:pStyle w:val="BodyText"/>
        <w:spacing w:before="120" w:after="120"/>
        <w:ind w:right="95"/>
        <w:rPr>
          <w:sz w:val="22"/>
          <w:szCs w:val="22"/>
        </w:rPr>
      </w:pPr>
      <w:r>
        <w:rPr>
          <w:sz w:val="22"/>
          <w:szCs w:val="22"/>
        </w:rPr>
        <w:t>In either case, a</w:t>
      </w:r>
      <w:r w:rsidR="0028041D" w:rsidRPr="00D43965">
        <w:rPr>
          <w:sz w:val="22"/>
          <w:szCs w:val="22"/>
        </w:rPr>
        <w:t xml:space="preserve"> notice of decision </w:t>
      </w:r>
      <w:r w:rsidR="00FD7CD8">
        <w:rPr>
          <w:sz w:val="22"/>
          <w:szCs w:val="22"/>
        </w:rPr>
        <w:t>must</w:t>
      </w:r>
      <w:r w:rsidR="00FD7CD8" w:rsidRPr="00D43965">
        <w:rPr>
          <w:sz w:val="22"/>
          <w:szCs w:val="22"/>
        </w:rPr>
        <w:t xml:space="preserve"> </w:t>
      </w:r>
      <w:r>
        <w:rPr>
          <w:sz w:val="22"/>
          <w:szCs w:val="22"/>
        </w:rPr>
        <w:t xml:space="preserve">take reasonable steps to </w:t>
      </w:r>
      <w:r w:rsidR="0028041D" w:rsidRPr="00D43965">
        <w:rPr>
          <w:sz w:val="22"/>
          <w:szCs w:val="22"/>
        </w:rPr>
        <w:t xml:space="preserve">inform the provider of </w:t>
      </w:r>
      <w:r w:rsidR="0028041D">
        <w:rPr>
          <w:sz w:val="22"/>
          <w:szCs w:val="22"/>
        </w:rPr>
        <w:t xml:space="preserve">the </w:t>
      </w:r>
      <w:r w:rsidR="0028041D" w:rsidRPr="00D43965">
        <w:rPr>
          <w:sz w:val="22"/>
          <w:szCs w:val="22"/>
        </w:rPr>
        <w:t>review rights</w:t>
      </w:r>
      <w:r w:rsidR="0028041D">
        <w:rPr>
          <w:sz w:val="22"/>
          <w:szCs w:val="22"/>
        </w:rPr>
        <w:t xml:space="preserve"> available.</w:t>
      </w:r>
    </w:p>
    <w:p w14:paraId="32961C58" w14:textId="5F440F7F" w:rsidR="00182C60" w:rsidRDefault="001B65DA" w:rsidP="00782F11">
      <w:pPr>
        <w:pStyle w:val="Heading3"/>
      </w:pPr>
      <w:r w:rsidRPr="00782F11">
        <w:t>SMART</w:t>
      </w:r>
      <w:r w:rsidR="00182C60" w:rsidRPr="002A0158">
        <w:t xml:space="preserve"> conditions</w:t>
      </w:r>
    </w:p>
    <w:p w14:paraId="43CA19C9" w14:textId="745CEB70" w:rsidR="00182C60" w:rsidRPr="00D43965" w:rsidRDefault="00AE0992" w:rsidP="00182C60">
      <w:pPr>
        <w:pStyle w:val="Bullet1"/>
      </w:pPr>
      <w:r>
        <w:t xml:space="preserve">TEQSA endeavours to make conditions </w:t>
      </w:r>
      <w:r w:rsidR="00B475A7" w:rsidRPr="00B475A7">
        <w:rPr>
          <w:b/>
        </w:rPr>
        <w:t>SMART</w:t>
      </w:r>
      <w:r w:rsidR="00B475A7">
        <w:t xml:space="preserve"> (</w:t>
      </w:r>
      <w:r w:rsidR="00B475A7" w:rsidRPr="00E15E2F">
        <w:rPr>
          <w:b/>
        </w:rPr>
        <w:t>s</w:t>
      </w:r>
      <w:r w:rsidR="00B475A7">
        <w:t xml:space="preserve">pecific, </w:t>
      </w:r>
      <w:r w:rsidR="00B475A7" w:rsidRPr="00E15E2F">
        <w:rPr>
          <w:b/>
        </w:rPr>
        <w:t>m</w:t>
      </w:r>
      <w:r w:rsidR="00B475A7">
        <w:t xml:space="preserve">easureable, </w:t>
      </w:r>
      <w:r w:rsidR="00B475A7" w:rsidRPr="00E15E2F">
        <w:rPr>
          <w:b/>
        </w:rPr>
        <w:t>a</w:t>
      </w:r>
      <w:r w:rsidR="00B475A7">
        <w:t xml:space="preserve">ctionable, </w:t>
      </w:r>
      <w:r w:rsidR="00B475A7" w:rsidRPr="00E15E2F">
        <w:rPr>
          <w:b/>
        </w:rPr>
        <w:t>r</w:t>
      </w:r>
      <w:r w:rsidR="00B475A7">
        <w:t xml:space="preserve">ealistic, </w:t>
      </w:r>
      <w:r w:rsidR="00B475A7" w:rsidRPr="00E15E2F">
        <w:rPr>
          <w:b/>
        </w:rPr>
        <w:t>t</w:t>
      </w:r>
      <w:r w:rsidR="00F17B04">
        <w:t>argeted).</w:t>
      </w:r>
    </w:p>
    <w:p w14:paraId="3B4C083D" w14:textId="339A2B90" w:rsidR="00182C60" w:rsidRPr="00D43965" w:rsidRDefault="00241C4A" w:rsidP="00182C60">
      <w:pPr>
        <w:pStyle w:val="Bullet1"/>
      </w:pPr>
      <w:r>
        <w:t>C</w:t>
      </w:r>
      <w:r w:rsidR="00182C60" w:rsidRPr="00D43965">
        <w:t>onditions are obligations providers</w:t>
      </w:r>
      <w:r>
        <w:t xml:space="preserve"> are expected to meet and</w:t>
      </w:r>
      <w:r w:rsidR="00182C60" w:rsidRPr="00D43965">
        <w:t xml:space="preserve"> </w:t>
      </w:r>
      <w:r w:rsidR="00AE0992">
        <w:t>as such they will</w:t>
      </w:r>
      <w:r w:rsidR="000C4E15">
        <w:t xml:space="preserve"> be </w:t>
      </w:r>
      <w:r w:rsidR="00AE0992">
        <w:t>constructed</w:t>
      </w:r>
      <w:r w:rsidR="000C4E15">
        <w:t xml:space="preserve"> in a </w:t>
      </w:r>
      <w:r>
        <w:t>manner that the</w:t>
      </w:r>
      <w:r w:rsidR="000C4E15">
        <w:t>ir</w:t>
      </w:r>
      <w:r>
        <w:t xml:space="preserve"> </w:t>
      </w:r>
      <w:r w:rsidR="00182C60" w:rsidRPr="00D43965">
        <w:t>mandatory</w:t>
      </w:r>
      <w:r>
        <w:t xml:space="preserve"> nature is understood</w:t>
      </w:r>
      <w:r w:rsidR="00182C60" w:rsidRPr="00D43965">
        <w:t xml:space="preserve">. </w:t>
      </w:r>
      <w:r w:rsidR="00AE0992">
        <w:t>They will contain</w:t>
      </w:r>
      <w:r w:rsidR="00182C60" w:rsidRPr="00D43965">
        <w:t xml:space="preserve"> words such as </w:t>
      </w:r>
      <w:r w:rsidR="00A80004">
        <w:t>‘</w:t>
      </w:r>
      <w:r w:rsidR="00182C60" w:rsidRPr="00D43965">
        <w:t>must</w:t>
      </w:r>
      <w:r w:rsidR="00A80004">
        <w:t>’</w:t>
      </w:r>
      <w:r w:rsidR="00182C60" w:rsidRPr="00D43965">
        <w:t xml:space="preserve"> and </w:t>
      </w:r>
      <w:r w:rsidR="00A80004">
        <w:t>‘</w:t>
      </w:r>
      <w:r w:rsidR="00182C60" w:rsidRPr="00D43965">
        <w:t>will</w:t>
      </w:r>
      <w:r w:rsidR="00A80004">
        <w:t>’</w:t>
      </w:r>
      <w:r w:rsidR="00182C60" w:rsidRPr="00D43965">
        <w:t xml:space="preserve"> rather than </w:t>
      </w:r>
      <w:r w:rsidR="00A80004">
        <w:t>‘</w:t>
      </w:r>
      <w:r w:rsidR="00182C60" w:rsidRPr="00D43965">
        <w:t>may</w:t>
      </w:r>
      <w:r w:rsidR="00A80004">
        <w:t>’</w:t>
      </w:r>
      <w:r w:rsidR="00182C60" w:rsidRPr="00D43965">
        <w:t xml:space="preserve"> or</w:t>
      </w:r>
      <w:r w:rsidR="00182C60" w:rsidRPr="00D43965">
        <w:rPr>
          <w:spacing w:val="-30"/>
        </w:rPr>
        <w:t xml:space="preserve"> </w:t>
      </w:r>
      <w:r w:rsidR="00A80004">
        <w:t>‘</w:t>
      </w:r>
      <w:r w:rsidR="00182C60" w:rsidRPr="00D43965">
        <w:t>should</w:t>
      </w:r>
      <w:r w:rsidR="00A80004">
        <w:t>’</w:t>
      </w:r>
      <w:r w:rsidR="00AE0992">
        <w:t>.</w:t>
      </w:r>
    </w:p>
    <w:p w14:paraId="6EE4EC4A" w14:textId="44D132C9" w:rsidR="00182C60" w:rsidRDefault="00F10DC3" w:rsidP="00E15E2F">
      <w:pPr>
        <w:pStyle w:val="Bullet1"/>
        <w:tabs>
          <w:tab w:val="left" w:pos="1134"/>
        </w:tabs>
        <w:ind w:right="-46"/>
      </w:pPr>
      <w:r>
        <w:t>C</w:t>
      </w:r>
      <w:r w:rsidR="00773A41">
        <w:t>onditions</w:t>
      </w:r>
      <w:r w:rsidR="00182C60" w:rsidRPr="00D43965">
        <w:t xml:space="preserve"> </w:t>
      </w:r>
      <w:r w:rsidR="00D840C1">
        <w:t>will</w:t>
      </w:r>
      <w:r>
        <w:t xml:space="preserve"> be precise </w:t>
      </w:r>
      <w:r w:rsidR="00D840C1">
        <w:t>and</w:t>
      </w:r>
      <w:r w:rsidR="00662CF7">
        <w:t xml:space="preserve"> targeted at the identified risk and </w:t>
      </w:r>
      <w:r w:rsidR="00182C60" w:rsidRPr="00E15E2F">
        <w:t>clear</w:t>
      </w:r>
      <w:r w:rsidR="00D840C1">
        <w:t xml:space="preserve"> in</w:t>
      </w:r>
      <w:r w:rsidR="00A80004" w:rsidRPr="00E15E2F">
        <w:t xml:space="preserve"> </w:t>
      </w:r>
      <w:r w:rsidR="00182C60" w:rsidRPr="00D43965">
        <w:t xml:space="preserve">what exactly a provider must do to comply with </w:t>
      </w:r>
      <w:r w:rsidR="00773A41">
        <w:t>a</w:t>
      </w:r>
      <w:r w:rsidR="00773A41" w:rsidRPr="00D43965">
        <w:t xml:space="preserve"> </w:t>
      </w:r>
      <w:r w:rsidR="00182C60" w:rsidRPr="00D43965">
        <w:t>condition</w:t>
      </w:r>
      <w:r w:rsidR="00A80004">
        <w:t xml:space="preserve">, and </w:t>
      </w:r>
      <w:r w:rsidR="00182C60" w:rsidRPr="00D43965">
        <w:t xml:space="preserve">when </w:t>
      </w:r>
      <w:r w:rsidR="00773A41">
        <w:t>a</w:t>
      </w:r>
      <w:r w:rsidR="00773A41" w:rsidRPr="00D43965">
        <w:t xml:space="preserve"> </w:t>
      </w:r>
      <w:r w:rsidR="00182C60" w:rsidRPr="00D43965">
        <w:t>condition will be taken to have been</w:t>
      </w:r>
      <w:r w:rsidR="00182C60" w:rsidRPr="00A80004">
        <w:rPr>
          <w:spacing w:val="-2"/>
        </w:rPr>
        <w:t xml:space="preserve"> </w:t>
      </w:r>
      <w:r w:rsidR="00182C60" w:rsidRPr="00D43965">
        <w:t>satisfied.</w:t>
      </w:r>
      <w:r w:rsidR="00182C60" w:rsidRPr="00A80004">
        <w:rPr>
          <w:spacing w:val="-7"/>
        </w:rPr>
        <w:t xml:space="preserve"> </w:t>
      </w:r>
      <w:r w:rsidR="00D840C1">
        <w:t>Subjective words such as</w:t>
      </w:r>
      <w:r w:rsidR="00182C60" w:rsidRPr="00E15E2F">
        <w:t xml:space="preserve"> </w:t>
      </w:r>
      <w:r w:rsidR="00A80004">
        <w:t>‘</w:t>
      </w:r>
      <w:r w:rsidR="00182C60" w:rsidRPr="00D43965">
        <w:t>sufficient</w:t>
      </w:r>
      <w:r w:rsidR="00A80004">
        <w:t>’</w:t>
      </w:r>
      <w:r w:rsidR="00182C60" w:rsidRPr="00E15E2F">
        <w:t xml:space="preserve"> </w:t>
      </w:r>
      <w:r w:rsidR="00241C4A">
        <w:t>or</w:t>
      </w:r>
      <w:r w:rsidR="00241C4A" w:rsidRPr="00E15E2F">
        <w:t xml:space="preserve"> </w:t>
      </w:r>
      <w:r w:rsidR="00A80004">
        <w:t>‘</w:t>
      </w:r>
      <w:r w:rsidR="00182C60" w:rsidRPr="00D43965">
        <w:t>adequate</w:t>
      </w:r>
      <w:r w:rsidR="00A80004">
        <w:t>’</w:t>
      </w:r>
      <w:r w:rsidR="00182C60" w:rsidRPr="00E15E2F">
        <w:t xml:space="preserve"> </w:t>
      </w:r>
      <w:r w:rsidR="00D840C1">
        <w:t>will</w:t>
      </w:r>
      <w:r w:rsidR="00773A41">
        <w:t xml:space="preserve"> be avoided</w:t>
      </w:r>
      <w:r w:rsidR="00241C4A">
        <w:t xml:space="preserve"> </w:t>
      </w:r>
      <w:r w:rsidR="00773A41">
        <w:t xml:space="preserve">to minimise confusion on </w:t>
      </w:r>
      <w:r w:rsidR="00241C4A">
        <w:t>how</w:t>
      </w:r>
      <w:r w:rsidR="00782F11">
        <w:t xml:space="preserve"> or </w:t>
      </w:r>
      <w:r w:rsidR="00241C4A">
        <w:t xml:space="preserve">when </w:t>
      </w:r>
      <w:r w:rsidR="00182C60" w:rsidRPr="00D43965">
        <w:t>a condition w</w:t>
      </w:r>
      <w:r w:rsidR="00782F11">
        <w:t>ill</w:t>
      </w:r>
      <w:r w:rsidR="00182C60" w:rsidRPr="00D43965">
        <w:t xml:space="preserve"> be</w:t>
      </w:r>
      <w:r w:rsidR="00182C60" w:rsidRPr="00E15E2F">
        <w:t xml:space="preserve"> </w:t>
      </w:r>
      <w:r w:rsidR="00782F11">
        <w:t>taken</w:t>
      </w:r>
      <w:r w:rsidR="00773A41">
        <w:t xml:space="preserve"> to be </w:t>
      </w:r>
      <w:r w:rsidR="00182C60">
        <w:t>satisfied</w:t>
      </w:r>
      <w:r w:rsidR="00182C60" w:rsidRPr="00D43965">
        <w:t>.</w:t>
      </w:r>
    </w:p>
    <w:p w14:paraId="317EB078" w14:textId="61DC0E8A" w:rsidR="00EA4438" w:rsidRPr="00D43965" w:rsidRDefault="00D840C1" w:rsidP="00E15E2F">
      <w:pPr>
        <w:pStyle w:val="Bullet1"/>
        <w:tabs>
          <w:tab w:val="left" w:pos="1134"/>
        </w:tabs>
        <w:ind w:right="-46"/>
      </w:pPr>
      <w:r>
        <w:lastRenderedPageBreak/>
        <w:t xml:space="preserve">Where a condition relies on content from an Expert Report or other external source, TEQSA will include relevant parts of the report in the condition to avoid providers having to reference external materials. </w:t>
      </w:r>
    </w:p>
    <w:p w14:paraId="5F49D4CF" w14:textId="2A058F1E" w:rsidR="00723BBA" w:rsidRDefault="00D840C1" w:rsidP="00740C06">
      <w:pPr>
        <w:pStyle w:val="Bullet1"/>
        <w:ind w:right="-46"/>
      </w:pPr>
      <w:r>
        <w:t>As much as possible</w:t>
      </w:r>
      <w:r w:rsidR="00BE5355">
        <w:t xml:space="preserve"> </w:t>
      </w:r>
      <w:r w:rsidR="000C4E15">
        <w:t>condition</w:t>
      </w:r>
      <w:r>
        <w:t>s will</w:t>
      </w:r>
      <w:r w:rsidR="00182C60" w:rsidRPr="00A80004">
        <w:t xml:space="preserve"> invite a provider </w:t>
      </w:r>
      <w:r w:rsidR="002D68DE">
        <w:t xml:space="preserve">to </w:t>
      </w:r>
      <w:r w:rsidR="005538F1">
        <w:t xml:space="preserve">use their judgement in determining the most appropriate documents to </w:t>
      </w:r>
      <w:r w:rsidR="00182C60" w:rsidRPr="00A80004">
        <w:t xml:space="preserve">produce </w:t>
      </w:r>
      <w:r w:rsidR="005538F1">
        <w:t>in demonstrating how the provider addresses</w:t>
      </w:r>
      <w:r w:rsidR="00182C60" w:rsidRPr="00A80004">
        <w:t xml:space="preserve"> concerns raised.</w:t>
      </w:r>
      <w:r w:rsidR="00DC2A31">
        <w:t xml:space="preserve"> </w:t>
      </w:r>
      <w:r w:rsidR="005538F1">
        <w:t>However</w:t>
      </w:r>
      <w:r w:rsidR="00782F11">
        <w:t>,</w:t>
      </w:r>
      <w:r w:rsidR="00773A41">
        <w:t xml:space="preserve"> in some instances, </w:t>
      </w:r>
      <w:r w:rsidR="005538F1">
        <w:t xml:space="preserve">it may be </w:t>
      </w:r>
      <w:r>
        <w:t>necessary for</w:t>
      </w:r>
      <w:r w:rsidR="00BE5355">
        <w:t xml:space="preserve"> </w:t>
      </w:r>
      <w:r w:rsidR="00773A41">
        <w:t xml:space="preserve">TEQSA </w:t>
      </w:r>
      <w:r w:rsidR="005538F1">
        <w:t xml:space="preserve">to be prescriptive about the </w:t>
      </w:r>
      <w:r w:rsidR="00773A41">
        <w:t>specific</w:t>
      </w:r>
      <w:r w:rsidR="005538F1">
        <w:t xml:space="preserve"> evidence it seeks</w:t>
      </w:r>
      <w:r w:rsidR="00723BBA">
        <w:t>.</w:t>
      </w:r>
    </w:p>
    <w:p w14:paraId="2E75E1D7" w14:textId="7A2A33B3" w:rsidR="00395FE5" w:rsidRDefault="00723BBA" w:rsidP="00E15E2F">
      <w:pPr>
        <w:pStyle w:val="Bullet1"/>
        <w:numPr>
          <w:ilvl w:val="0"/>
          <w:numId w:val="0"/>
        </w:numPr>
        <w:ind w:left="284" w:right="-46"/>
      </w:pPr>
      <w:r>
        <w:t>If</w:t>
      </w:r>
      <w:r w:rsidR="00DC2A31">
        <w:t xml:space="preserve"> TEQSA require</w:t>
      </w:r>
      <w:r w:rsidR="00A04DCC">
        <w:t>s</w:t>
      </w:r>
      <w:r w:rsidR="00DC2A31">
        <w:t xml:space="preserve"> the production of specific documentation</w:t>
      </w:r>
      <w:r w:rsidR="001476BC">
        <w:t xml:space="preserve"> </w:t>
      </w:r>
      <w:r w:rsidR="001476BC" w:rsidRPr="00A80004">
        <w:t xml:space="preserve">such as a financial report or minutes from </w:t>
      </w:r>
      <w:r w:rsidR="00782F11">
        <w:t>meetings of its</w:t>
      </w:r>
      <w:r w:rsidR="001476BC">
        <w:t xml:space="preserve"> </w:t>
      </w:r>
      <w:r w:rsidR="00782F11">
        <w:t>g</w:t>
      </w:r>
      <w:r w:rsidR="001476BC">
        <w:t xml:space="preserve">overning </w:t>
      </w:r>
      <w:r w:rsidR="00782F11">
        <w:t>b</w:t>
      </w:r>
      <w:r w:rsidR="001476BC">
        <w:t>ody</w:t>
      </w:r>
      <w:r w:rsidR="001476BC" w:rsidRPr="00A80004">
        <w:t xml:space="preserve">, </w:t>
      </w:r>
      <w:r w:rsidR="00A04DCC">
        <w:t>the</w:t>
      </w:r>
      <w:r w:rsidR="00DC2A31">
        <w:t xml:space="preserve"> condition </w:t>
      </w:r>
      <w:r w:rsidR="00D840C1">
        <w:t>will</w:t>
      </w:r>
      <w:r w:rsidR="001476BC">
        <w:t xml:space="preserve"> precisely identify</w:t>
      </w:r>
      <w:r w:rsidR="00182C60" w:rsidRPr="00A80004">
        <w:t xml:space="preserve"> what issue the </w:t>
      </w:r>
      <w:r w:rsidR="001476BC">
        <w:t>requested document</w:t>
      </w:r>
      <w:r w:rsidR="00D43E79">
        <w:t>s are</w:t>
      </w:r>
      <w:r w:rsidR="001476BC">
        <w:t xml:space="preserve"> expected to</w:t>
      </w:r>
      <w:r w:rsidR="001476BC" w:rsidRPr="00A80004">
        <w:t xml:space="preserve"> </w:t>
      </w:r>
      <w:r w:rsidR="00182C60" w:rsidRPr="00A80004">
        <w:t>address</w:t>
      </w:r>
      <w:r w:rsidR="002A0158">
        <w:t xml:space="preserve">, </w:t>
      </w:r>
      <w:r>
        <w:t xml:space="preserve">so that </w:t>
      </w:r>
      <w:r w:rsidR="002A0158">
        <w:t>it is clear the</w:t>
      </w:r>
      <w:r w:rsidR="00182C60" w:rsidRPr="00A80004">
        <w:t xml:space="preserve"> condition is</w:t>
      </w:r>
      <w:r w:rsidR="00182C60" w:rsidRPr="001B65DA">
        <w:rPr>
          <w:spacing w:val="-30"/>
        </w:rPr>
        <w:t xml:space="preserve"> </w:t>
      </w:r>
      <w:r w:rsidR="00182C60" w:rsidRPr="00A80004">
        <w:t xml:space="preserve">not satisfied simply </w:t>
      </w:r>
      <w:r w:rsidR="00D43E79">
        <w:t>by</w:t>
      </w:r>
      <w:r w:rsidR="00D43E79" w:rsidRPr="00A80004">
        <w:t xml:space="preserve"> </w:t>
      </w:r>
      <w:r w:rsidR="002A0158">
        <w:t>the provision of the particular</w:t>
      </w:r>
      <w:r w:rsidR="00182C60" w:rsidRPr="00A80004">
        <w:t xml:space="preserve"> document</w:t>
      </w:r>
      <w:r w:rsidR="002A0158">
        <w:t>ation</w:t>
      </w:r>
      <w:r w:rsidR="00182C60" w:rsidRPr="00A80004">
        <w:t>. For instance</w:t>
      </w:r>
      <w:r w:rsidR="00A80004" w:rsidRPr="00A80004">
        <w:t>,</w:t>
      </w:r>
      <w:r w:rsidR="00182C60" w:rsidRPr="00A80004">
        <w:t xml:space="preserve"> if </w:t>
      </w:r>
      <w:r w:rsidR="001476BC">
        <w:t xml:space="preserve">the </w:t>
      </w:r>
      <w:r w:rsidR="002A0158">
        <w:t>g</w:t>
      </w:r>
      <w:r w:rsidR="001476BC">
        <w:t xml:space="preserve">overning </w:t>
      </w:r>
      <w:r w:rsidR="002A0158">
        <w:t>b</w:t>
      </w:r>
      <w:r w:rsidR="001476BC">
        <w:t>ody’s</w:t>
      </w:r>
      <w:r w:rsidR="00182C60" w:rsidRPr="00A80004">
        <w:t xml:space="preserve"> minutes are requested to demonstrate appropriate financial oversight, the condition </w:t>
      </w:r>
      <w:r w:rsidR="00D840C1">
        <w:t>will</w:t>
      </w:r>
      <w:r w:rsidR="00BE5355">
        <w:t xml:space="preserve"> </w:t>
      </w:r>
      <w:r w:rsidR="00182C60" w:rsidRPr="00A80004">
        <w:t xml:space="preserve">specify that </w:t>
      </w:r>
      <w:r w:rsidR="00182C60" w:rsidRPr="00E15E2F">
        <w:rPr>
          <w:i/>
        </w:rPr>
        <w:t>the minutes must demonstrate</w:t>
      </w:r>
      <w:r w:rsidR="00D43E79">
        <w:rPr>
          <w:i/>
        </w:rPr>
        <w:t xml:space="preserve"> sound decision making </w:t>
      </w:r>
      <w:r w:rsidR="00182C60" w:rsidRPr="00E15E2F">
        <w:rPr>
          <w:i/>
        </w:rPr>
        <w:t>about financial risk management</w:t>
      </w:r>
      <w:r w:rsidR="00D43E79">
        <w:rPr>
          <w:i/>
        </w:rPr>
        <w:t xml:space="preserve"> matters</w:t>
      </w:r>
      <w:r w:rsidR="00182C60" w:rsidRPr="00A80004">
        <w:t>.</w:t>
      </w:r>
    </w:p>
    <w:p w14:paraId="692119D4" w14:textId="5E9C8BE8" w:rsidR="00395FE5" w:rsidRDefault="00395FE5" w:rsidP="00740C06">
      <w:pPr>
        <w:pStyle w:val="Bullet1"/>
        <w:ind w:right="-188"/>
      </w:pPr>
      <w:r>
        <w:t xml:space="preserve">TEQSA </w:t>
      </w:r>
      <w:r w:rsidR="001B65DA">
        <w:t xml:space="preserve">may </w:t>
      </w:r>
      <w:r w:rsidR="00C87525">
        <w:t xml:space="preserve">also </w:t>
      </w:r>
      <w:r w:rsidR="001B65DA">
        <w:t xml:space="preserve">impose a condition </w:t>
      </w:r>
      <w:r w:rsidR="008B737B">
        <w:t>that describes</w:t>
      </w:r>
      <w:r w:rsidR="00755C0F">
        <w:t xml:space="preserve"> what is required in a response. F</w:t>
      </w:r>
      <w:r w:rsidR="008B737B">
        <w:t xml:space="preserve">or instance, TEQSA may </w:t>
      </w:r>
      <w:r w:rsidR="00D53930">
        <w:t xml:space="preserve">outline </w:t>
      </w:r>
      <w:r w:rsidR="008B737B">
        <w:t xml:space="preserve">a </w:t>
      </w:r>
      <w:r w:rsidR="00D53930">
        <w:t>specific</w:t>
      </w:r>
      <w:r w:rsidR="008B737B">
        <w:t xml:space="preserve"> document </w:t>
      </w:r>
      <w:r w:rsidR="00D53930">
        <w:t>to</w:t>
      </w:r>
      <w:r w:rsidR="008B737B">
        <w:t xml:space="preserve"> be produced to</w:t>
      </w:r>
      <w:r w:rsidR="001B65DA">
        <w:t xml:space="preserve"> give</w:t>
      </w:r>
      <w:r w:rsidR="008B737B">
        <w:t xml:space="preserve"> TEQSA</w:t>
      </w:r>
      <w:r w:rsidR="00D43E79">
        <w:t xml:space="preserve"> </w:t>
      </w:r>
      <w:r w:rsidR="00D53930">
        <w:t xml:space="preserve">clearer </w:t>
      </w:r>
      <w:r w:rsidR="00D43E79">
        <w:t>v</w:t>
      </w:r>
      <w:r>
        <w:t xml:space="preserve">isibility of a particular issue </w:t>
      </w:r>
      <w:r w:rsidR="00D53930">
        <w:t xml:space="preserve">and associated </w:t>
      </w:r>
      <w:r>
        <w:t xml:space="preserve">risk. </w:t>
      </w:r>
      <w:r w:rsidR="00D840C1">
        <w:t>S</w:t>
      </w:r>
      <w:r w:rsidR="00D53930">
        <w:t>uch a condition</w:t>
      </w:r>
      <w:r w:rsidR="00D840C1">
        <w:t xml:space="preserve"> will</w:t>
      </w:r>
      <w:r w:rsidR="001B0C26" w:rsidRPr="001B65DA">
        <w:t xml:space="preserve"> </w:t>
      </w:r>
      <w:r w:rsidR="00C87525">
        <w:t xml:space="preserve">clearly </w:t>
      </w:r>
      <w:r w:rsidR="001B65DA" w:rsidRPr="001B65DA">
        <w:t xml:space="preserve">outline </w:t>
      </w:r>
      <w:r w:rsidR="001B65DA" w:rsidRPr="00D53930">
        <w:t>the</w:t>
      </w:r>
      <w:r w:rsidRPr="00D53930">
        <w:t xml:space="preserve"> </w:t>
      </w:r>
      <w:r w:rsidR="008B737B" w:rsidRPr="00D53930">
        <w:t xml:space="preserve">issue which must be addressed in </w:t>
      </w:r>
      <w:r w:rsidR="00D53930" w:rsidRPr="00D53930">
        <w:t>the specified</w:t>
      </w:r>
      <w:r w:rsidR="008B737B" w:rsidRPr="00D53930">
        <w:t xml:space="preserve"> document and/ or the </w:t>
      </w:r>
      <w:r w:rsidR="00755C0F" w:rsidRPr="00D53930">
        <w:t>way a document must be produced</w:t>
      </w:r>
      <w:r w:rsidRPr="00D53930">
        <w:t xml:space="preserve"> </w:t>
      </w:r>
      <w:r w:rsidR="001B65DA" w:rsidRPr="00D53930">
        <w:t>to</w:t>
      </w:r>
      <w:r w:rsidRPr="00D53930">
        <w:t xml:space="preserve"> satisf</w:t>
      </w:r>
      <w:r w:rsidR="001B65DA" w:rsidRPr="00D53930">
        <w:t>y the condition</w:t>
      </w:r>
      <w:r w:rsidRPr="00D53930">
        <w:t>.</w:t>
      </w:r>
    </w:p>
    <w:p w14:paraId="734ED1EE" w14:textId="5DE1F71E" w:rsidR="00B945F0" w:rsidRDefault="00182C60" w:rsidP="00966628">
      <w:pPr>
        <w:pStyle w:val="Bullet1"/>
        <w:ind w:right="-188"/>
      </w:pPr>
      <w:r w:rsidRPr="00852B1E">
        <w:t xml:space="preserve">Where a requirement must be </w:t>
      </w:r>
      <w:r w:rsidR="00E420A9">
        <w:t>satisfied</w:t>
      </w:r>
      <w:r w:rsidRPr="00852B1E">
        <w:t xml:space="preserve"> in order for a </w:t>
      </w:r>
      <w:r>
        <w:t xml:space="preserve">condition to </w:t>
      </w:r>
      <w:r w:rsidRPr="001B65DA">
        <w:t xml:space="preserve">be </w:t>
      </w:r>
      <w:r w:rsidRPr="00E15E2F">
        <w:t>revoked</w:t>
      </w:r>
      <w:r w:rsidR="00D53930">
        <w:rPr>
          <w:rStyle w:val="FootnoteReference"/>
        </w:rPr>
        <w:footnoteReference w:id="2"/>
      </w:r>
      <w:r w:rsidR="002A0158">
        <w:t>,</w:t>
      </w:r>
      <w:r w:rsidR="006C4EE8">
        <w:t xml:space="preserve"> </w:t>
      </w:r>
      <w:r w:rsidR="00D840C1">
        <w:t>t</w:t>
      </w:r>
      <w:r w:rsidRPr="00852B1E">
        <w:t>he condition</w:t>
      </w:r>
      <w:r w:rsidR="00D840C1">
        <w:t xml:space="preserve"> will specify that</w:t>
      </w:r>
      <w:r w:rsidRPr="00852B1E">
        <w:t xml:space="preserve"> the requirement applies </w:t>
      </w:r>
      <w:r w:rsidR="00A80004">
        <w:t>‘</w:t>
      </w:r>
      <w:r w:rsidRPr="00852B1E">
        <w:t xml:space="preserve">until TEQSA notifies </w:t>
      </w:r>
      <w:r w:rsidR="006C4EE8">
        <w:t xml:space="preserve">the </w:t>
      </w:r>
      <w:r w:rsidRPr="00852B1E">
        <w:t>provider</w:t>
      </w:r>
      <w:r w:rsidR="006C4EE8">
        <w:t xml:space="preserve"> </w:t>
      </w:r>
      <w:r w:rsidR="006324E6">
        <w:t>it</w:t>
      </w:r>
      <w:r w:rsidRPr="00852B1E">
        <w:t xml:space="preserve"> is satisfied</w:t>
      </w:r>
      <w:r w:rsidR="002A0158">
        <w:t>’</w:t>
      </w:r>
      <w:r>
        <w:t xml:space="preserve"> the </w:t>
      </w:r>
      <w:r w:rsidR="006C4EE8">
        <w:t xml:space="preserve">provider has adequately addressed the </w:t>
      </w:r>
      <w:r w:rsidR="006324E6">
        <w:t>condition</w:t>
      </w:r>
      <w:r w:rsidRPr="00852B1E">
        <w:t>.</w:t>
      </w:r>
      <w:r w:rsidR="00B945F0">
        <w:t xml:space="preserve"> </w:t>
      </w:r>
    </w:p>
    <w:p w14:paraId="01130655" w14:textId="75A99157" w:rsidR="00B945F0" w:rsidRDefault="00D840C1" w:rsidP="00B945F0">
      <w:pPr>
        <w:pStyle w:val="Bullet1"/>
        <w:numPr>
          <w:ilvl w:val="0"/>
          <w:numId w:val="0"/>
        </w:numPr>
        <w:ind w:left="284" w:right="-188"/>
      </w:pPr>
      <w:r>
        <w:t>In some situations i</w:t>
      </w:r>
      <w:r w:rsidR="00B945F0">
        <w:t>t may also specify:</w:t>
      </w:r>
    </w:p>
    <w:p w14:paraId="51E6A5B2" w14:textId="77777777" w:rsidR="00B945F0" w:rsidRDefault="00B945F0" w:rsidP="00B945F0">
      <w:pPr>
        <w:pStyle w:val="Bullet2"/>
        <w:ind w:right="-188"/>
      </w:pPr>
      <w:r>
        <w:t>that a</w:t>
      </w:r>
      <w:r w:rsidRPr="00A80004">
        <w:t xml:space="preserve"> condition</w:t>
      </w:r>
      <w:r w:rsidRPr="00D21150">
        <w:rPr>
          <w:spacing w:val="-28"/>
        </w:rPr>
        <w:t xml:space="preserve"> </w:t>
      </w:r>
      <w:r w:rsidRPr="00A80004">
        <w:t xml:space="preserve">will not be </w:t>
      </w:r>
      <w:r>
        <w:t>satisfied</w:t>
      </w:r>
      <w:r w:rsidRPr="00A80004">
        <w:t xml:space="preserve"> if the document does not address one or more requirements, and/or</w:t>
      </w:r>
      <w:r>
        <w:t xml:space="preserve"> </w:t>
      </w:r>
    </w:p>
    <w:p w14:paraId="186F8E0F" w14:textId="77777777" w:rsidR="00B945F0" w:rsidRDefault="00B945F0" w:rsidP="00B945F0">
      <w:pPr>
        <w:pStyle w:val="Bullet2"/>
        <w:ind w:right="-188"/>
      </w:pPr>
      <w:r w:rsidRPr="00A80004">
        <w:t xml:space="preserve">a date </w:t>
      </w:r>
      <w:r>
        <w:t>for responding to the condition</w:t>
      </w:r>
      <w:r w:rsidRPr="00A80004">
        <w:t xml:space="preserve"> which allows TEQSA to take further action if the provider’s</w:t>
      </w:r>
      <w:r w:rsidRPr="00395FE5">
        <w:rPr>
          <w:spacing w:val="-30"/>
        </w:rPr>
        <w:t xml:space="preserve"> </w:t>
      </w:r>
      <w:r w:rsidRPr="00A80004">
        <w:t xml:space="preserve">response is </w:t>
      </w:r>
      <w:r>
        <w:t>assessed as</w:t>
      </w:r>
      <w:r w:rsidRPr="00A80004">
        <w:t xml:space="preserve"> inadequate</w:t>
      </w:r>
      <w:r>
        <w:t xml:space="preserve"> upon review.</w:t>
      </w:r>
    </w:p>
    <w:p w14:paraId="3C00A1F4" w14:textId="384991C2" w:rsidR="00182C60" w:rsidRPr="00D43965" w:rsidRDefault="00182C60" w:rsidP="00B945F0">
      <w:pPr>
        <w:pStyle w:val="Bullet1"/>
        <w:ind w:right="-188"/>
      </w:pPr>
      <w:r w:rsidRPr="00D43965">
        <w:t>Where TEQSA is imposing a number of conditions, it may group them thematically.</w:t>
      </w:r>
      <w:r w:rsidR="00B945F0">
        <w:t xml:space="preserve"> </w:t>
      </w:r>
    </w:p>
    <w:p w14:paraId="7F51EBD2" w14:textId="00B05F1C" w:rsidR="00182C60" w:rsidRPr="00D43965" w:rsidRDefault="00182C60" w:rsidP="00740C06">
      <w:pPr>
        <w:pStyle w:val="Bullet1"/>
        <w:ind w:right="-188"/>
      </w:pPr>
      <w:r w:rsidRPr="00D43965">
        <w:t xml:space="preserve">Where a condition is being imposed on the accreditation of more than one course of study, </w:t>
      </w:r>
      <w:r w:rsidR="00D840C1">
        <w:t>TEQSA may reference</w:t>
      </w:r>
      <w:r w:rsidRPr="00D43965">
        <w:rPr>
          <w:spacing w:val="-4"/>
        </w:rPr>
        <w:t xml:space="preserve"> </w:t>
      </w:r>
      <w:r w:rsidR="00A80004">
        <w:t>‘</w:t>
      </w:r>
      <w:r w:rsidRPr="00D43965">
        <w:t>the</w:t>
      </w:r>
      <w:r w:rsidRPr="00D43965">
        <w:rPr>
          <w:spacing w:val="-4"/>
        </w:rPr>
        <w:t xml:space="preserve"> </w:t>
      </w:r>
      <w:r w:rsidRPr="00D43965">
        <w:t>course</w:t>
      </w:r>
      <w:r>
        <w:t>s</w:t>
      </w:r>
      <w:r w:rsidR="00A80004">
        <w:t>’</w:t>
      </w:r>
      <w:r w:rsidRPr="00D43965">
        <w:rPr>
          <w:spacing w:val="-4"/>
        </w:rPr>
        <w:t xml:space="preserve"> </w:t>
      </w:r>
      <w:r w:rsidRPr="00D43965">
        <w:t>rather</w:t>
      </w:r>
      <w:r w:rsidRPr="00D43965">
        <w:rPr>
          <w:spacing w:val="-4"/>
        </w:rPr>
        <w:t xml:space="preserve"> </w:t>
      </w:r>
      <w:r w:rsidRPr="00D43965">
        <w:t>than</w:t>
      </w:r>
      <w:r w:rsidRPr="00D43965">
        <w:rPr>
          <w:spacing w:val="-2"/>
        </w:rPr>
        <w:t xml:space="preserve"> </w:t>
      </w:r>
      <w:r w:rsidRPr="00D43965">
        <w:t>naming</w:t>
      </w:r>
      <w:r w:rsidRPr="00D43965">
        <w:rPr>
          <w:spacing w:val="-5"/>
        </w:rPr>
        <w:t xml:space="preserve"> </w:t>
      </w:r>
      <w:r w:rsidRPr="00D43965">
        <w:t>each</w:t>
      </w:r>
      <w:r w:rsidRPr="00D43965">
        <w:rPr>
          <w:spacing w:val="-2"/>
        </w:rPr>
        <w:t xml:space="preserve"> </w:t>
      </w:r>
      <w:r w:rsidRPr="00D43965">
        <w:t>course</w:t>
      </w:r>
      <w:r w:rsidRPr="00D43965">
        <w:rPr>
          <w:spacing w:val="-5"/>
        </w:rPr>
        <w:t xml:space="preserve"> </w:t>
      </w:r>
      <w:r w:rsidRPr="00D43965">
        <w:t>in</w:t>
      </w:r>
      <w:r w:rsidRPr="00D43965">
        <w:rPr>
          <w:spacing w:val="-2"/>
        </w:rPr>
        <w:t xml:space="preserve"> </w:t>
      </w:r>
      <w:r w:rsidRPr="00D43965">
        <w:t>the</w:t>
      </w:r>
      <w:r w:rsidRPr="00D43965">
        <w:rPr>
          <w:spacing w:val="-4"/>
        </w:rPr>
        <w:t xml:space="preserve"> </w:t>
      </w:r>
      <w:r w:rsidRPr="00D43965">
        <w:t>condition</w:t>
      </w:r>
      <w:r w:rsidR="00D840C1">
        <w:t>.</w:t>
      </w:r>
    </w:p>
    <w:p w14:paraId="7D5FA12C" w14:textId="77777777" w:rsidR="00182C60" w:rsidRDefault="00182C60" w:rsidP="002A0158">
      <w:pPr>
        <w:pStyle w:val="Heading3"/>
      </w:pPr>
      <w:r>
        <w:t xml:space="preserve">Varying or revoking </w:t>
      </w:r>
      <w:r w:rsidRPr="0028041D">
        <w:t>conditions</w:t>
      </w:r>
    </w:p>
    <w:p w14:paraId="58B704A0" w14:textId="77777777" w:rsidR="00182C60" w:rsidRPr="006324E6" w:rsidRDefault="00182C60" w:rsidP="00740C06">
      <w:pPr>
        <w:pStyle w:val="BodyText"/>
        <w:spacing w:before="120" w:after="120"/>
        <w:ind w:right="-188"/>
        <w:rPr>
          <w:sz w:val="22"/>
          <w:szCs w:val="22"/>
        </w:rPr>
      </w:pPr>
      <w:r w:rsidRPr="00D43965">
        <w:rPr>
          <w:sz w:val="22"/>
          <w:szCs w:val="22"/>
        </w:rPr>
        <w:t xml:space="preserve">TEQSA may vary </w:t>
      </w:r>
      <w:r w:rsidRPr="001B65DA">
        <w:rPr>
          <w:sz w:val="22"/>
          <w:szCs w:val="22"/>
        </w:rPr>
        <w:t xml:space="preserve">or </w:t>
      </w:r>
      <w:r w:rsidRPr="00740C06">
        <w:rPr>
          <w:sz w:val="22"/>
          <w:szCs w:val="22"/>
        </w:rPr>
        <w:t>revoke</w:t>
      </w:r>
      <w:r w:rsidRPr="001B65DA">
        <w:rPr>
          <w:sz w:val="22"/>
          <w:szCs w:val="22"/>
        </w:rPr>
        <w:t xml:space="preserve"> a condition it has imposed on its own initiative</w:t>
      </w:r>
      <w:r w:rsidR="007E12DC" w:rsidRPr="001B65DA">
        <w:rPr>
          <w:sz w:val="22"/>
          <w:szCs w:val="22"/>
        </w:rPr>
        <w:t>,</w:t>
      </w:r>
      <w:r w:rsidRPr="001B65DA">
        <w:rPr>
          <w:sz w:val="22"/>
          <w:szCs w:val="22"/>
        </w:rPr>
        <w:t xml:space="preserve"> or where a provider has applied for a condition to be varied or re</w:t>
      </w:r>
      <w:r w:rsidR="007E12DC" w:rsidRPr="006324E6">
        <w:rPr>
          <w:sz w:val="22"/>
          <w:szCs w:val="22"/>
        </w:rPr>
        <w:t>voked.</w:t>
      </w:r>
      <w:r w:rsidRPr="006324E6">
        <w:rPr>
          <w:sz w:val="22"/>
          <w:szCs w:val="22"/>
        </w:rPr>
        <w:t xml:space="preserve"> </w:t>
      </w:r>
      <w:r w:rsidR="002C5FAB">
        <w:rPr>
          <w:sz w:val="22"/>
          <w:szCs w:val="22"/>
        </w:rPr>
        <w:t xml:space="preserve">In making a decision as to whether to vary or revoke a condition, </w:t>
      </w:r>
      <w:r w:rsidRPr="006324E6">
        <w:rPr>
          <w:sz w:val="22"/>
          <w:szCs w:val="22"/>
        </w:rPr>
        <w:t xml:space="preserve">TEQSA must consider </w:t>
      </w:r>
      <w:r w:rsidR="002C5FAB">
        <w:rPr>
          <w:sz w:val="22"/>
          <w:szCs w:val="22"/>
        </w:rPr>
        <w:t xml:space="preserve">the regulatory principles of necessity, risk and proportionality and determine whether the material risk that TEQSA sought to monitor or mitigate </w:t>
      </w:r>
      <w:r w:rsidR="002A0158">
        <w:rPr>
          <w:sz w:val="22"/>
          <w:szCs w:val="22"/>
        </w:rPr>
        <w:t>is</w:t>
      </w:r>
      <w:r w:rsidR="002C5FAB">
        <w:rPr>
          <w:sz w:val="22"/>
          <w:szCs w:val="22"/>
        </w:rPr>
        <w:t xml:space="preserve"> appropriately addressed</w:t>
      </w:r>
      <w:r w:rsidRPr="006324E6">
        <w:rPr>
          <w:sz w:val="22"/>
          <w:szCs w:val="22"/>
        </w:rPr>
        <w:t>.</w:t>
      </w:r>
    </w:p>
    <w:p w14:paraId="775E93FA" w14:textId="77777777" w:rsidR="00524A58" w:rsidRPr="00524A58" w:rsidRDefault="00524A58" w:rsidP="00883D88">
      <w:pPr>
        <w:pStyle w:val="Heading4"/>
      </w:pPr>
      <w:r w:rsidRPr="00524A58">
        <w:t>TEQSA Act</w:t>
      </w:r>
    </w:p>
    <w:p w14:paraId="003960D8" w14:textId="3ED53D8D" w:rsidR="00182C60" w:rsidRDefault="00182C60" w:rsidP="00E15E2F">
      <w:pPr>
        <w:pStyle w:val="BodyText"/>
        <w:spacing w:before="120" w:after="120"/>
        <w:ind w:right="-188"/>
        <w:rPr>
          <w:sz w:val="22"/>
          <w:szCs w:val="22"/>
        </w:rPr>
      </w:pPr>
      <w:r w:rsidRPr="006324E6">
        <w:rPr>
          <w:sz w:val="22"/>
          <w:szCs w:val="22"/>
        </w:rPr>
        <w:t xml:space="preserve">TEQSA must notify a provider in writing of a decision to vary or </w:t>
      </w:r>
      <w:r w:rsidRPr="00740C06">
        <w:rPr>
          <w:sz w:val="22"/>
          <w:szCs w:val="22"/>
        </w:rPr>
        <w:t>revoke</w:t>
      </w:r>
      <w:r w:rsidRPr="001B65DA">
        <w:rPr>
          <w:sz w:val="22"/>
          <w:szCs w:val="22"/>
        </w:rPr>
        <w:t xml:space="preserve"> a condition within 30 </w:t>
      </w:r>
      <w:r w:rsidRPr="001B65DA">
        <w:rPr>
          <w:sz w:val="22"/>
          <w:szCs w:val="22"/>
        </w:rPr>
        <w:lastRenderedPageBreak/>
        <w:t xml:space="preserve">days of making the decision. The </w:t>
      </w:r>
      <w:r w:rsidRPr="00D43965">
        <w:rPr>
          <w:sz w:val="22"/>
          <w:szCs w:val="22"/>
        </w:rPr>
        <w:t>decision</w:t>
      </w:r>
      <w:r w:rsidR="00D53930">
        <w:rPr>
          <w:sz w:val="22"/>
          <w:szCs w:val="22"/>
        </w:rPr>
        <w:t xml:space="preserve"> must outline </w:t>
      </w:r>
      <w:r w:rsidRPr="00D43965">
        <w:rPr>
          <w:sz w:val="22"/>
          <w:szCs w:val="22"/>
        </w:rPr>
        <w:t>the reasons for the decision and</w:t>
      </w:r>
      <w:r w:rsidR="002A0158">
        <w:rPr>
          <w:sz w:val="22"/>
          <w:szCs w:val="22"/>
        </w:rPr>
        <w:t xml:space="preserve"> </w:t>
      </w:r>
      <w:r w:rsidR="007E12DC">
        <w:rPr>
          <w:sz w:val="22"/>
          <w:szCs w:val="22"/>
        </w:rPr>
        <w:t>– in the case of a decision to vary a condition –</w:t>
      </w:r>
      <w:r w:rsidR="007E12DC" w:rsidRPr="00D43965">
        <w:rPr>
          <w:sz w:val="22"/>
          <w:szCs w:val="22"/>
        </w:rPr>
        <w:t xml:space="preserve"> </w:t>
      </w:r>
      <w:r w:rsidR="007E12DC">
        <w:rPr>
          <w:sz w:val="22"/>
          <w:szCs w:val="22"/>
        </w:rPr>
        <w:t>the condition variation.</w:t>
      </w:r>
    </w:p>
    <w:p w14:paraId="2B44D52B" w14:textId="3A86FCD3" w:rsidR="00524A58" w:rsidRDefault="00524A58" w:rsidP="00883D88">
      <w:pPr>
        <w:pStyle w:val="Heading4"/>
      </w:pPr>
      <w:r w:rsidRPr="00524A58">
        <w:t>ESOS Act</w:t>
      </w:r>
    </w:p>
    <w:p w14:paraId="679DEFA9" w14:textId="40C6916D" w:rsidR="00524A58" w:rsidRPr="0089577B" w:rsidRDefault="0089577B" w:rsidP="00E15E2F">
      <w:pPr>
        <w:pStyle w:val="BodyText"/>
        <w:spacing w:before="120" w:after="120"/>
        <w:ind w:right="-188"/>
        <w:rPr>
          <w:sz w:val="22"/>
          <w:szCs w:val="22"/>
        </w:rPr>
      </w:pPr>
      <w:r w:rsidRPr="0089577B">
        <w:rPr>
          <w:sz w:val="22"/>
          <w:szCs w:val="22"/>
        </w:rPr>
        <w:t>Under s</w:t>
      </w:r>
      <w:r w:rsidR="00883D88">
        <w:rPr>
          <w:sz w:val="22"/>
          <w:szCs w:val="22"/>
        </w:rPr>
        <w:t xml:space="preserve">ection </w:t>
      </w:r>
      <w:r w:rsidRPr="0089577B">
        <w:rPr>
          <w:sz w:val="22"/>
          <w:szCs w:val="22"/>
        </w:rPr>
        <w:t xml:space="preserve">93(3) of the ESOS Act outlines the minimum notice period that TEQSA is required to give a provider when varying or removing a condition imposed under the ESOS Act. This time varies from </w:t>
      </w:r>
      <w:r>
        <w:rPr>
          <w:sz w:val="22"/>
          <w:szCs w:val="22"/>
        </w:rPr>
        <w:t>24</w:t>
      </w:r>
      <w:r w:rsidRPr="0089577B">
        <w:rPr>
          <w:sz w:val="22"/>
          <w:szCs w:val="22"/>
        </w:rPr>
        <w:t xml:space="preserve"> hours to 7 days based on the </w:t>
      </w:r>
      <w:r>
        <w:rPr>
          <w:sz w:val="22"/>
          <w:szCs w:val="22"/>
        </w:rPr>
        <w:t xml:space="preserve">circumstances </w:t>
      </w:r>
      <w:r w:rsidRPr="0089577B">
        <w:rPr>
          <w:sz w:val="22"/>
          <w:szCs w:val="22"/>
        </w:rPr>
        <w:t xml:space="preserve">of the </w:t>
      </w:r>
      <w:r>
        <w:rPr>
          <w:sz w:val="22"/>
          <w:szCs w:val="22"/>
        </w:rPr>
        <w:t>case</w:t>
      </w:r>
      <w:r w:rsidRPr="0089577B">
        <w:rPr>
          <w:sz w:val="22"/>
          <w:szCs w:val="22"/>
        </w:rPr>
        <w:t>.</w:t>
      </w:r>
      <w:r>
        <w:rPr>
          <w:sz w:val="22"/>
          <w:szCs w:val="22"/>
        </w:rPr>
        <w:t xml:space="preserve"> Generally, where the </w:t>
      </w:r>
      <w:r w:rsidRPr="0089577B">
        <w:rPr>
          <w:sz w:val="22"/>
          <w:szCs w:val="22"/>
        </w:rPr>
        <w:t>circumstances do not require urgent action, TEQSA will grant a provider a period of 28 days to respond.</w:t>
      </w:r>
    </w:p>
    <w:p w14:paraId="3444F578" w14:textId="3D915A45" w:rsidR="00FC04C1" w:rsidRPr="00DB765A" w:rsidRDefault="00DB765A" w:rsidP="00DB765A">
      <w:pPr>
        <w:pStyle w:val="Heading3"/>
      </w:pPr>
      <w:r w:rsidRPr="00DB765A">
        <w:t>Condit</w:t>
      </w:r>
      <w:r w:rsidR="00BC5905">
        <w:t>ions and withdrawn registration</w:t>
      </w:r>
    </w:p>
    <w:p w14:paraId="3A1AB524" w14:textId="77777777" w:rsidR="00B75FB9" w:rsidRPr="00B75FB9" w:rsidRDefault="00B75FB9" w:rsidP="00883D88">
      <w:pPr>
        <w:pStyle w:val="Heading4"/>
      </w:pPr>
      <w:r w:rsidRPr="00B75FB9">
        <w:t>ESOS Act</w:t>
      </w:r>
    </w:p>
    <w:p w14:paraId="04324FE6" w14:textId="2CF9B9C4" w:rsidR="00AF0E3E" w:rsidRDefault="00AF0E3E" w:rsidP="00AF0E3E">
      <w:r w:rsidRPr="00FD46F4">
        <w:t xml:space="preserve">The ESOS Act does not expressly provide for an application to be made for withdrawal of registration. As such, in order to give effect to </w:t>
      </w:r>
      <w:r>
        <w:t xml:space="preserve">a </w:t>
      </w:r>
      <w:r w:rsidRPr="00AF0E3E">
        <w:t xml:space="preserve">provider’s request to withdraw registration, TEQSA must make the decision to cancel the registration </w:t>
      </w:r>
      <w:r>
        <w:t xml:space="preserve">under the ESOS Act </w:t>
      </w:r>
      <w:r w:rsidR="00883D88">
        <w:t xml:space="preserve">based on </w:t>
      </w:r>
      <w:r w:rsidRPr="00AF0E3E">
        <w:t xml:space="preserve">section </w:t>
      </w:r>
      <w:r w:rsidR="00883D88">
        <w:t xml:space="preserve">83(1A) of the ESOS Act. When </w:t>
      </w:r>
      <w:r w:rsidRPr="00AF0E3E">
        <w:t>section 83(1A) is used to facilitate a provider request to withdraw registration, TEQSA makes the decision on the basis that the provider’s decision</w:t>
      </w:r>
      <w:r w:rsidRPr="00FD46F4">
        <w:t xml:space="preserve"> to cease operations means that it will not be able to provide courses to its accepted students. </w:t>
      </w:r>
      <w:r>
        <w:t>In such instances, TEQSA does</w:t>
      </w:r>
      <w:r w:rsidRPr="00FD46F4">
        <w:t xml:space="preserve"> not draw any adverse inference from </w:t>
      </w:r>
      <w:r>
        <w:t>a provider’s</w:t>
      </w:r>
      <w:r w:rsidRPr="00FD46F4">
        <w:t xml:space="preserve"> decision to cancel registration.</w:t>
      </w:r>
    </w:p>
    <w:p w14:paraId="09640C79" w14:textId="1CBFFE05" w:rsidR="00B75FB9" w:rsidRPr="00B75FB9" w:rsidRDefault="00B75FB9" w:rsidP="00883D88">
      <w:pPr>
        <w:pStyle w:val="Heading4"/>
      </w:pPr>
      <w:r w:rsidRPr="00B75FB9">
        <w:t>TEQSA Act and ESOS Act</w:t>
      </w:r>
    </w:p>
    <w:p w14:paraId="5489BC82" w14:textId="77777777" w:rsidR="00DB765A" w:rsidRPr="00D43965" w:rsidRDefault="00DB765A" w:rsidP="00E15E2F">
      <w:pPr>
        <w:pStyle w:val="BodyText"/>
        <w:spacing w:before="120" w:after="120"/>
        <w:ind w:right="-188"/>
        <w:rPr>
          <w:sz w:val="22"/>
          <w:szCs w:val="22"/>
        </w:rPr>
      </w:pPr>
      <w:r>
        <w:rPr>
          <w:sz w:val="22"/>
          <w:szCs w:val="22"/>
        </w:rPr>
        <w:t xml:space="preserve">If a provider with active conditions withdraws their registration under the TEQSA Act, or registration and course accreditation under the ESOS Act, </w:t>
      </w:r>
      <w:r w:rsidR="00C769D2">
        <w:rPr>
          <w:sz w:val="22"/>
          <w:szCs w:val="22"/>
        </w:rPr>
        <w:t xml:space="preserve">any </w:t>
      </w:r>
      <w:r>
        <w:rPr>
          <w:sz w:val="22"/>
          <w:szCs w:val="22"/>
        </w:rPr>
        <w:t xml:space="preserve">active </w:t>
      </w:r>
      <w:r w:rsidRPr="00DB765A">
        <w:rPr>
          <w:sz w:val="22"/>
          <w:szCs w:val="22"/>
        </w:rPr>
        <w:t xml:space="preserve">conditions </w:t>
      </w:r>
      <w:r>
        <w:rPr>
          <w:sz w:val="22"/>
          <w:szCs w:val="22"/>
        </w:rPr>
        <w:t xml:space="preserve">related to the registration or course accreditation </w:t>
      </w:r>
      <w:r w:rsidR="00C769D2">
        <w:rPr>
          <w:sz w:val="22"/>
          <w:szCs w:val="22"/>
        </w:rPr>
        <w:t>would also be</w:t>
      </w:r>
      <w:r>
        <w:rPr>
          <w:sz w:val="22"/>
          <w:szCs w:val="22"/>
        </w:rPr>
        <w:t xml:space="preserve"> withdrawn. This is because conditions </w:t>
      </w:r>
      <w:r w:rsidRPr="00DB765A">
        <w:rPr>
          <w:sz w:val="22"/>
          <w:szCs w:val="22"/>
        </w:rPr>
        <w:t xml:space="preserve">are attached to the accreditation of </w:t>
      </w:r>
      <w:r>
        <w:rPr>
          <w:sz w:val="22"/>
          <w:szCs w:val="22"/>
        </w:rPr>
        <w:t>a specific</w:t>
      </w:r>
      <w:r w:rsidRPr="00DB765A">
        <w:rPr>
          <w:sz w:val="22"/>
          <w:szCs w:val="22"/>
        </w:rPr>
        <w:t xml:space="preserve"> course</w:t>
      </w:r>
      <w:r>
        <w:rPr>
          <w:sz w:val="22"/>
          <w:szCs w:val="22"/>
        </w:rPr>
        <w:t>/ courses</w:t>
      </w:r>
      <w:r w:rsidRPr="00DB765A">
        <w:rPr>
          <w:sz w:val="22"/>
          <w:szCs w:val="22"/>
        </w:rPr>
        <w:t xml:space="preserve"> and </w:t>
      </w:r>
      <w:r>
        <w:rPr>
          <w:sz w:val="22"/>
          <w:szCs w:val="22"/>
        </w:rPr>
        <w:t>or provider</w:t>
      </w:r>
      <w:r w:rsidR="001B0C26">
        <w:rPr>
          <w:sz w:val="22"/>
          <w:szCs w:val="22"/>
        </w:rPr>
        <w:t>’</w:t>
      </w:r>
      <w:r>
        <w:rPr>
          <w:sz w:val="22"/>
          <w:szCs w:val="22"/>
        </w:rPr>
        <w:t xml:space="preserve">s registration and </w:t>
      </w:r>
      <w:r w:rsidRPr="00DB765A">
        <w:rPr>
          <w:sz w:val="22"/>
          <w:szCs w:val="22"/>
        </w:rPr>
        <w:t>would cease to operate i</w:t>
      </w:r>
      <w:r>
        <w:rPr>
          <w:sz w:val="22"/>
          <w:szCs w:val="22"/>
        </w:rPr>
        <w:t>f the course is not accredited or the provider ceased operating.</w:t>
      </w:r>
      <w:r w:rsidRPr="00FC04C1">
        <w:rPr>
          <w:rFonts w:ascii="Calibri" w:eastAsia="Times New Roman" w:hAnsi="Calibri" w:cs="Calibri"/>
          <w:lang w:eastAsia="en-AU"/>
        </w:rPr>
        <w:t xml:space="preserve"> </w:t>
      </w:r>
      <w:r>
        <w:rPr>
          <w:sz w:val="22"/>
          <w:szCs w:val="22"/>
        </w:rPr>
        <w:t xml:space="preserve"> </w:t>
      </w:r>
    </w:p>
    <w:p w14:paraId="4311AD21" w14:textId="77777777" w:rsidR="00182C60" w:rsidRDefault="00182C60" w:rsidP="002A0158">
      <w:pPr>
        <w:pStyle w:val="Heading3"/>
      </w:pPr>
      <w:r>
        <w:t>Failing to comply with a condition</w:t>
      </w:r>
    </w:p>
    <w:p w14:paraId="182BA607" w14:textId="75F5437E" w:rsidR="00182C60" w:rsidRPr="00D43965" w:rsidRDefault="007E12DC" w:rsidP="00E15E2F">
      <w:pPr>
        <w:pStyle w:val="BodyText"/>
        <w:spacing w:before="120" w:after="120"/>
        <w:ind w:right="-188"/>
        <w:rPr>
          <w:sz w:val="22"/>
          <w:szCs w:val="22"/>
        </w:rPr>
      </w:pPr>
      <w:r w:rsidRPr="007E12DC">
        <w:rPr>
          <w:sz w:val="22"/>
          <w:szCs w:val="22"/>
        </w:rPr>
        <w:t xml:space="preserve">Failure to comply with a </w:t>
      </w:r>
      <w:r w:rsidRPr="004D4277">
        <w:rPr>
          <w:sz w:val="22"/>
          <w:szCs w:val="22"/>
        </w:rPr>
        <w:t xml:space="preserve">condition is </w:t>
      </w:r>
      <w:r w:rsidRPr="00E15E2F">
        <w:rPr>
          <w:sz w:val="22"/>
          <w:szCs w:val="22"/>
        </w:rPr>
        <w:t>a breach</w:t>
      </w:r>
      <w:r w:rsidRPr="004D4277">
        <w:rPr>
          <w:sz w:val="22"/>
          <w:szCs w:val="22"/>
        </w:rPr>
        <w:t xml:space="preserve"> of the TEQSA and ESOS Act</w:t>
      </w:r>
      <w:r w:rsidR="00DC2A31" w:rsidRPr="004D4277">
        <w:rPr>
          <w:sz w:val="22"/>
          <w:szCs w:val="22"/>
        </w:rPr>
        <w:t>s</w:t>
      </w:r>
      <w:r w:rsidRPr="004D4277">
        <w:rPr>
          <w:sz w:val="22"/>
          <w:szCs w:val="22"/>
        </w:rPr>
        <w:t xml:space="preserve">, and may lead to TEQSA commencing enforcement action, including </w:t>
      </w:r>
      <w:r w:rsidR="002C5FAB" w:rsidRPr="004D4277">
        <w:rPr>
          <w:sz w:val="22"/>
          <w:szCs w:val="22"/>
        </w:rPr>
        <w:t xml:space="preserve">seeking </w:t>
      </w:r>
      <w:r w:rsidRPr="004D4277">
        <w:rPr>
          <w:sz w:val="22"/>
          <w:szCs w:val="22"/>
        </w:rPr>
        <w:t xml:space="preserve">civil penalty </w:t>
      </w:r>
      <w:r w:rsidR="00BC15C1">
        <w:rPr>
          <w:sz w:val="22"/>
          <w:szCs w:val="22"/>
        </w:rPr>
        <w:t>orders</w:t>
      </w:r>
      <w:r w:rsidR="00883D88">
        <w:rPr>
          <w:sz w:val="22"/>
          <w:szCs w:val="22"/>
        </w:rPr>
        <w:t xml:space="preserve"> under section</w:t>
      </w:r>
      <w:r w:rsidR="00F10DC3">
        <w:rPr>
          <w:sz w:val="22"/>
          <w:szCs w:val="22"/>
        </w:rPr>
        <w:t xml:space="preserve"> </w:t>
      </w:r>
      <w:r w:rsidRPr="004D4277">
        <w:rPr>
          <w:sz w:val="22"/>
          <w:szCs w:val="22"/>
        </w:rPr>
        <w:t xml:space="preserve">115 of the TEQSA Act. </w:t>
      </w:r>
      <w:r w:rsidR="004D4277" w:rsidRPr="004D4277">
        <w:rPr>
          <w:sz w:val="22"/>
          <w:szCs w:val="22"/>
        </w:rPr>
        <w:t xml:space="preserve">Sections </w:t>
      </w:r>
      <w:r w:rsidR="004D4277" w:rsidRPr="00E15E2F">
        <w:rPr>
          <w:sz w:val="22"/>
          <w:szCs w:val="22"/>
        </w:rPr>
        <w:t>83(1</w:t>
      </w:r>
      <w:r w:rsidR="00CB6D2E" w:rsidRPr="00E15E2F">
        <w:rPr>
          <w:sz w:val="22"/>
          <w:szCs w:val="22"/>
        </w:rPr>
        <w:t>) (</w:t>
      </w:r>
      <w:r w:rsidR="004D4277" w:rsidRPr="00E15E2F">
        <w:rPr>
          <w:sz w:val="22"/>
          <w:szCs w:val="22"/>
        </w:rPr>
        <w:t>d) and (3) and section 94 of</w:t>
      </w:r>
      <w:r w:rsidR="002A0158">
        <w:rPr>
          <w:sz w:val="22"/>
          <w:szCs w:val="22"/>
        </w:rPr>
        <w:t xml:space="preserve"> the</w:t>
      </w:r>
      <w:r w:rsidR="004D4277" w:rsidRPr="00E15E2F">
        <w:rPr>
          <w:sz w:val="22"/>
          <w:szCs w:val="22"/>
        </w:rPr>
        <w:t xml:space="preserve"> ESOS Act deal with breaches of registration conditions under </w:t>
      </w:r>
      <w:r w:rsidR="00422F7E">
        <w:rPr>
          <w:sz w:val="22"/>
          <w:szCs w:val="22"/>
        </w:rPr>
        <w:t xml:space="preserve">the </w:t>
      </w:r>
      <w:r w:rsidR="004D4277" w:rsidRPr="00E15E2F">
        <w:rPr>
          <w:sz w:val="22"/>
          <w:szCs w:val="22"/>
        </w:rPr>
        <w:t xml:space="preserve">ESOS </w:t>
      </w:r>
      <w:r w:rsidR="00422F7E">
        <w:rPr>
          <w:sz w:val="22"/>
          <w:szCs w:val="22"/>
        </w:rPr>
        <w:t>Act</w:t>
      </w:r>
      <w:r w:rsidR="004D4277" w:rsidRPr="00E15E2F">
        <w:rPr>
          <w:sz w:val="22"/>
          <w:szCs w:val="22"/>
        </w:rPr>
        <w:t>.</w:t>
      </w:r>
    </w:p>
    <w:p w14:paraId="5D8D289E" w14:textId="268440D7" w:rsidR="007E12DC" w:rsidRDefault="00182C60" w:rsidP="00E15E2F">
      <w:pPr>
        <w:pStyle w:val="BodyText"/>
        <w:spacing w:before="120" w:after="120"/>
        <w:ind w:right="-188"/>
        <w:rPr>
          <w:sz w:val="22"/>
          <w:szCs w:val="22"/>
        </w:rPr>
      </w:pPr>
      <w:r w:rsidRPr="00D43965">
        <w:rPr>
          <w:sz w:val="22"/>
          <w:szCs w:val="22"/>
        </w:rPr>
        <w:t xml:space="preserve">Failure to comply with a condition </w:t>
      </w:r>
      <w:r w:rsidR="004D4277">
        <w:rPr>
          <w:sz w:val="22"/>
          <w:szCs w:val="22"/>
        </w:rPr>
        <w:t xml:space="preserve">is </w:t>
      </w:r>
      <w:r w:rsidRPr="00D43965">
        <w:rPr>
          <w:sz w:val="22"/>
          <w:szCs w:val="22"/>
        </w:rPr>
        <w:t>relevant to the consideration of other regulatory options (including decisions about future applications)</w:t>
      </w:r>
      <w:r w:rsidR="00DC2A31">
        <w:rPr>
          <w:sz w:val="22"/>
          <w:szCs w:val="22"/>
        </w:rPr>
        <w:t xml:space="preserve">, consistent with </w:t>
      </w:r>
      <w:r w:rsidRPr="00D43965">
        <w:rPr>
          <w:sz w:val="22"/>
          <w:szCs w:val="22"/>
        </w:rPr>
        <w:t>the basic principles of regulation.</w:t>
      </w:r>
      <w:r w:rsidR="004D4277">
        <w:rPr>
          <w:sz w:val="22"/>
          <w:szCs w:val="22"/>
        </w:rPr>
        <w:t xml:space="preserve"> In serious cases, </w:t>
      </w:r>
      <w:r w:rsidR="004D4277" w:rsidRPr="00D43965">
        <w:rPr>
          <w:sz w:val="22"/>
          <w:szCs w:val="22"/>
        </w:rPr>
        <w:t xml:space="preserve">TEQSA may consider shortening a provider’s period of registration or course accreditation, or cancelling </w:t>
      </w:r>
      <w:r w:rsidR="004D4277">
        <w:rPr>
          <w:sz w:val="22"/>
          <w:szCs w:val="22"/>
        </w:rPr>
        <w:t>its</w:t>
      </w:r>
      <w:r w:rsidR="004D4277" w:rsidRPr="00D43965">
        <w:rPr>
          <w:sz w:val="22"/>
          <w:szCs w:val="22"/>
        </w:rPr>
        <w:t xml:space="preserve"> registration or course accreditation</w:t>
      </w:r>
      <w:r w:rsidR="004D4277">
        <w:rPr>
          <w:sz w:val="22"/>
          <w:szCs w:val="22"/>
        </w:rPr>
        <w:t xml:space="preserve"> altogether</w:t>
      </w:r>
      <w:r w:rsidR="004D4277" w:rsidRPr="00D43965">
        <w:rPr>
          <w:sz w:val="22"/>
          <w:szCs w:val="22"/>
        </w:rPr>
        <w:t>.</w:t>
      </w:r>
    </w:p>
    <w:p w14:paraId="2805427B" w14:textId="2642CB9D" w:rsidR="00D86D86" w:rsidRPr="00D86D86" w:rsidRDefault="00D86D86" w:rsidP="00D86D86">
      <w:pPr>
        <w:pStyle w:val="Heading3"/>
      </w:pPr>
      <w:r w:rsidRPr="00D86D86">
        <w:t xml:space="preserve">Cost </w:t>
      </w:r>
      <w:r>
        <w:t>r</w:t>
      </w:r>
      <w:r w:rsidRPr="00D86D86">
        <w:t>ecovery</w:t>
      </w:r>
    </w:p>
    <w:p w14:paraId="6CD423F3" w14:textId="11158717" w:rsidR="00D86D86" w:rsidRPr="00D86D86" w:rsidRDefault="00D86D86" w:rsidP="00D86D86">
      <w:pPr>
        <w:pStyle w:val="BodyText"/>
        <w:ind w:right="-188"/>
        <w:rPr>
          <w:sz w:val="22"/>
          <w:szCs w:val="22"/>
        </w:rPr>
      </w:pPr>
      <w:r w:rsidRPr="00D86D86">
        <w:rPr>
          <w:sz w:val="22"/>
          <w:szCs w:val="22"/>
        </w:rPr>
        <w:t xml:space="preserve">From 1 January 2023, TESQA will recover the costs of monitoring conditions. The charges are </w:t>
      </w:r>
      <w:r w:rsidRPr="00D86D86">
        <w:rPr>
          <w:sz w:val="22"/>
          <w:szCs w:val="22"/>
        </w:rPr>
        <w:lastRenderedPageBreak/>
        <w:t xml:space="preserve">set out in Section 5 of the </w:t>
      </w:r>
      <w:hyperlink r:id="rId11" w:history="1">
        <w:r w:rsidRPr="00D86D86">
          <w:rPr>
            <w:rStyle w:val="Hyperlink"/>
            <w:i/>
            <w:iCs/>
            <w:sz w:val="22"/>
            <w:szCs w:val="22"/>
          </w:rPr>
          <w:t>Tertiary Education Quality and Standards Agency (Registered Higher Education Provider Charge) Guidelines 2022</w:t>
        </w:r>
      </w:hyperlink>
      <w:r w:rsidRPr="00D86D86">
        <w:rPr>
          <w:sz w:val="22"/>
          <w:szCs w:val="22"/>
        </w:rPr>
        <w:t xml:space="preserve"> and will be reviewed on an annual basis.</w:t>
      </w:r>
    </w:p>
    <w:p w14:paraId="2174151E" w14:textId="77777777" w:rsidR="00D86D86" w:rsidRPr="00D86D86" w:rsidRDefault="00D86D86" w:rsidP="00D86D86">
      <w:pPr>
        <w:pStyle w:val="BodyText"/>
        <w:ind w:right="-188"/>
        <w:rPr>
          <w:sz w:val="22"/>
          <w:szCs w:val="22"/>
        </w:rPr>
      </w:pPr>
    </w:p>
    <w:p w14:paraId="3AB8474E" w14:textId="3512AA02" w:rsidR="00D86D86" w:rsidRDefault="00D86D86" w:rsidP="00D86D86">
      <w:pPr>
        <w:pStyle w:val="BodyText"/>
        <w:spacing w:before="120" w:after="120"/>
        <w:ind w:right="-188"/>
        <w:rPr>
          <w:sz w:val="22"/>
          <w:szCs w:val="22"/>
        </w:rPr>
      </w:pPr>
      <w:r w:rsidRPr="00D86D86">
        <w:rPr>
          <w:sz w:val="22"/>
          <w:szCs w:val="22"/>
        </w:rPr>
        <w:t xml:space="preserve">The fees for applying to vary or revoke a condition are set out in </w:t>
      </w:r>
      <w:hyperlink r:id="rId12" w:history="1">
        <w:r w:rsidRPr="00D86D86">
          <w:rPr>
            <w:rStyle w:val="Hyperlink"/>
            <w:i/>
            <w:iCs/>
            <w:sz w:val="22"/>
            <w:szCs w:val="22"/>
          </w:rPr>
          <w:t>Tertiary Education Quality and Standards Agency Determination of Fees (Amendment) 2022</w:t>
        </w:r>
      </w:hyperlink>
      <w:r w:rsidRPr="00D86D86">
        <w:rPr>
          <w:sz w:val="22"/>
          <w:szCs w:val="22"/>
        </w:rPr>
        <w:t>.</w:t>
      </w:r>
    </w:p>
    <w:p w14:paraId="437F3918" w14:textId="3613EF56" w:rsidR="006C328D" w:rsidRPr="00182C60" w:rsidRDefault="006C328D" w:rsidP="00DB2E4B"/>
    <w:sectPr w:rsidR="006C328D" w:rsidRPr="00182C60" w:rsidSect="00FF2540">
      <w:headerReference w:type="default" r:id="rId13"/>
      <w:footerReference w:type="default" r:id="rId1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0231" w14:textId="77777777" w:rsidR="00665203" w:rsidRDefault="00665203" w:rsidP="006C328D">
      <w:pPr>
        <w:spacing w:before="0" w:after="0"/>
      </w:pPr>
      <w:r>
        <w:separator/>
      </w:r>
    </w:p>
  </w:endnote>
  <w:endnote w:type="continuationSeparator" w:id="0">
    <w:p w14:paraId="68FBC470" w14:textId="77777777" w:rsidR="00665203" w:rsidRDefault="00665203"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1B1222AD" w14:textId="00538BFB" w:rsidR="00E1519D" w:rsidRPr="00182C60" w:rsidRDefault="00E1519D" w:rsidP="00182C60">
            <w:pPr>
              <w:pStyle w:val="Footer"/>
              <w:tabs>
                <w:tab w:val="clear" w:pos="4513"/>
                <w:tab w:val="center" w:pos="9026"/>
              </w:tabs>
              <w:rPr>
                <w:color w:val="00847E" w:themeColor="accent1"/>
                <w:sz w:val="20"/>
                <w:szCs w:val="20"/>
              </w:rPr>
            </w:pPr>
            <w:r>
              <w:rPr>
                <w:color w:val="00847E" w:themeColor="accent1"/>
                <w:sz w:val="20"/>
                <w:szCs w:val="20"/>
              </w:rPr>
              <w:t>Instruction sheet: Conditions v2.0</w:t>
            </w:r>
            <w:r>
              <w:rPr>
                <w:color w:val="00847E" w:themeColor="accent1"/>
                <w:sz w:val="20"/>
                <w:szCs w:val="20"/>
              </w:rPr>
              <w:tab/>
            </w:r>
            <w:r w:rsidRPr="00182C60">
              <w:rPr>
                <w:color w:val="00847E" w:themeColor="accent1"/>
                <w:sz w:val="20"/>
                <w:szCs w:val="20"/>
              </w:rPr>
              <w:t xml:space="preserve">Page </w:t>
            </w:r>
            <w:r w:rsidRPr="00182C60">
              <w:rPr>
                <w:bCs/>
                <w:color w:val="00847E" w:themeColor="accent1"/>
                <w:sz w:val="20"/>
                <w:szCs w:val="20"/>
              </w:rPr>
              <w:fldChar w:fldCharType="begin"/>
            </w:r>
            <w:r w:rsidRPr="00182C60">
              <w:rPr>
                <w:bCs/>
                <w:color w:val="00847E" w:themeColor="accent1"/>
                <w:sz w:val="20"/>
                <w:szCs w:val="20"/>
              </w:rPr>
              <w:instrText xml:space="preserve"> PAGE </w:instrText>
            </w:r>
            <w:r w:rsidRPr="00182C60">
              <w:rPr>
                <w:bCs/>
                <w:color w:val="00847E" w:themeColor="accent1"/>
                <w:sz w:val="20"/>
                <w:szCs w:val="20"/>
              </w:rPr>
              <w:fldChar w:fldCharType="separate"/>
            </w:r>
            <w:r w:rsidR="00F17B04">
              <w:rPr>
                <w:bCs/>
                <w:noProof/>
                <w:color w:val="00847E" w:themeColor="accent1"/>
                <w:sz w:val="20"/>
                <w:szCs w:val="20"/>
              </w:rPr>
              <w:t>4</w:t>
            </w:r>
            <w:r w:rsidRPr="00182C60">
              <w:rPr>
                <w:bCs/>
                <w:color w:val="00847E" w:themeColor="accent1"/>
                <w:sz w:val="20"/>
                <w:szCs w:val="20"/>
              </w:rPr>
              <w:fldChar w:fldCharType="end"/>
            </w:r>
            <w:r w:rsidRPr="00182C60">
              <w:rPr>
                <w:color w:val="00847E" w:themeColor="accent1"/>
                <w:sz w:val="20"/>
                <w:szCs w:val="20"/>
              </w:rPr>
              <w:t xml:space="preserve"> of </w:t>
            </w:r>
            <w:r w:rsidRPr="00182C60">
              <w:rPr>
                <w:bCs/>
                <w:color w:val="00847E" w:themeColor="accent1"/>
                <w:sz w:val="20"/>
                <w:szCs w:val="20"/>
              </w:rPr>
              <w:fldChar w:fldCharType="begin"/>
            </w:r>
            <w:r w:rsidRPr="00182C60">
              <w:rPr>
                <w:bCs/>
                <w:color w:val="00847E" w:themeColor="accent1"/>
                <w:sz w:val="20"/>
                <w:szCs w:val="20"/>
              </w:rPr>
              <w:instrText xml:space="preserve"> NUMPAGES  </w:instrText>
            </w:r>
            <w:r w:rsidRPr="00182C60">
              <w:rPr>
                <w:bCs/>
                <w:color w:val="00847E" w:themeColor="accent1"/>
                <w:sz w:val="20"/>
                <w:szCs w:val="20"/>
              </w:rPr>
              <w:fldChar w:fldCharType="separate"/>
            </w:r>
            <w:r w:rsidR="00F17B04">
              <w:rPr>
                <w:bCs/>
                <w:noProof/>
                <w:color w:val="00847E" w:themeColor="accent1"/>
                <w:sz w:val="20"/>
                <w:szCs w:val="20"/>
              </w:rPr>
              <w:t>4</w:t>
            </w:r>
            <w:r w:rsidRPr="00182C60">
              <w:rPr>
                <w:bCs/>
                <w:color w:val="00847E" w:themeColor="accent1"/>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AFF5" w14:textId="77777777" w:rsidR="00665203" w:rsidRDefault="00665203" w:rsidP="006C328D">
      <w:pPr>
        <w:spacing w:before="0" w:after="0"/>
      </w:pPr>
      <w:r>
        <w:separator/>
      </w:r>
    </w:p>
  </w:footnote>
  <w:footnote w:type="continuationSeparator" w:id="0">
    <w:p w14:paraId="640FC008" w14:textId="77777777" w:rsidR="00665203" w:rsidRDefault="00665203" w:rsidP="006C328D">
      <w:pPr>
        <w:spacing w:before="0" w:after="0"/>
      </w:pPr>
      <w:r>
        <w:continuationSeparator/>
      </w:r>
    </w:p>
  </w:footnote>
  <w:footnote w:id="1">
    <w:p w14:paraId="3C93227B" w14:textId="77777777" w:rsidR="00E1519D" w:rsidRDefault="00E1519D" w:rsidP="00876BAD">
      <w:pPr>
        <w:pStyle w:val="FootnoteText"/>
      </w:pPr>
      <w:r>
        <w:rPr>
          <w:rStyle w:val="FootnoteReference"/>
        </w:rPr>
        <w:footnoteRef/>
      </w:r>
      <w:r>
        <w:t xml:space="preserve"> See TEQSA Act, Part 2: Basic principles for regulation.</w:t>
      </w:r>
    </w:p>
  </w:footnote>
  <w:footnote w:id="2">
    <w:p w14:paraId="5A503969" w14:textId="11E8DA4B" w:rsidR="00E1519D" w:rsidRDefault="00E1519D">
      <w:pPr>
        <w:pStyle w:val="FootnoteText"/>
      </w:pPr>
      <w:r>
        <w:rPr>
          <w:rStyle w:val="FootnoteReference"/>
        </w:rPr>
        <w:footnoteRef/>
      </w:r>
      <w:r>
        <w:t xml:space="preserve"> </w:t>
      </w:r>
      <w:r w:rsidRPr="00D21150">
        <w:t xml:space="preserve">The word </w:t>
      </w:r>
      <w:r>
        <w:t>‘</w:t>
      </w:r>
      <w:r w:rsidRPr="00D21150">
        <w:t>revoke</w:t>
      </w:r>
      <w:r>
        <w:t>’</w:t>
      </w:r>
      <w:r w:rsidRPr="00D21150">
        <w:t xml:space="preserve"> applies to the lifting of a condition under the TEQSA A</w:t>
      </w:r>
      <w:r>
        <w:t>ct</w:t>
      </w:r>
      <w:r w:rsidRPr="00D21150">
        <w:t xml:space="preserve">, whereas the word ‘remove’ applies in the case of a condition </w:t>
      </w:r>
      <w:r>
        <w:t xml:space="preserve">imposed </w:t>
      </w:r>
      <w:r w:rsidRPr="00D21150">
        <w:t xml:space="preserve">under the ESOS Act. The word </w:t>
      </w:r>
      <w:r>
        <w:t>‘</w:t>
      </w:r>
      <w:r w:rsidRPr="00D21150">
        <w:t>revoke</w:t>
      </w:r>
      <w:r>
        <w:t>’</w:t>
      </w:r>
      <w:r w:rsidRPr="00D21150">
        <w:t xml:space="preserve"> is used </w:t>
      </w:r>
      <w:r>
        <w:t>throughout</w:t>
      </w:r>
      <w:r w:rsidRPr="00D21150">
        <w:t xml:space="preserve"> this </w:t>
      </w:r>
      <w:r>
        <w:t>i</w:t>
      </w:r>
      <w:r w:rsidRPr="00D21150">
        <w:t>nstruction sheet for consistency of terminology.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BE2C" w14:textId="556301F6" w:rsidR="00E1519D" w:rsidRDefault="00E1519D" w:rsidP="00823786">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drawing>
        <wp:inline distT="0" distB="0" distL="0" distR="0" wp14:anchorId="03584ABF" wp14:editId="6D383755">
          <wp:extent cx="3228975" cy="476067"/>
          <wp:effectExtent l="0" t="0" r="0" b="635"/>
          <wp:docPr id="9" name="Picture 9"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20AFAFB1" wp14:editId="0EF3DDDD">
          <wp:extent cx="1428750" cy="353174"/>
          <wp:effectExtent l="0" t="0" r="0" b="8890"/>
          <wp:docPr id="10" name="Picture 10"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p w14:paraId="48B186CF" w14:textId="77777777" w:rsidR="00E1519D" w:rsidRPr="006C328D" w:rsidRDefault="00E1519D" w:rsidP="00823786">
    <w:pPr>
      <w:pStyle w:val="Header"/>
      <w:spacing w:after="240"/>
      <w:rPr>
        <w:rFonts w:ascii="Georgia" w:hAnsi="Georgia" w:cs="Arial"/>
        <w:b/>
        <w:noProof/>
        <w:color w:val="004855"/>
        <w:sz w:val="28"/>
        <w:szCs w:val="28"/>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10B94650"/>
    <w:multiLevelType w:val="hybridMultilevel"/>
    <w:tmpl w:val="7FA4592E"/>
    <w:lvl w:ilvl="0" w:tplc="ACAA7844">
      <w:numFmt w:val="bullet"/>
      <w:lvlText w:val=""/>
      <w:lvlJc w:val="left"/>
      <w:pPr>
        <w:ind w:left="813" w:hanging="356"/>
      </w:pPr>
      <w:rPr>
        <w:rFonts w:ascii="Symbol" w:eastAsia="Symbol" w:hAnsi="Symbol" w:cs="Symbol" w:hint="default"/>
        <w:color w:val="00A6AA"/>
        <w:w w:val="100"/>
        <w:sz w:val="22"/>
        <w:szCs w:val="22"/>
        <w:lang w:val="en-US" w:eastAsia="en-US" w:bidi="en-US"/>
      </w:rPr>
    </w:lvl>
    <w:lvl w:ilvl="1" w:tplc="2E1AF344">
      <w:start w:val="1"/>
      <w:numFmt w:val="lowerLetter"/>
      <w:lvlText w:val="%2."/>
      <w:lvlJc w:val="left"/>
      <w:pPr>
        <w:ind w:left="1173" w:hanging="360"/>
      </w:pPr>
      <w:rPr>
        <w:rFonts w:ascii="Arial" w:eastAsia="Arial" w:hAnsi="Arial" w:cs="Arial" w:hint="default"/>
        <w:color w:val="00A6AA"/>
        <w:spacing w:val="-1"/>
        <w:w w:val="100"/>
        <w:sz w:val="22"/>
        <w:szCs w:val="22"/>
        <w:lang w:val="en-US" w:eastAsia="en-US" w:bidi="en-US"/>
      </w:rPr>
    </w:lvl>
    <w:lvl w:ilvl="2" w:tplc="41C2202C">
      <w:numFmt w:val="bullet"/>
      <w:lvlText w:val="•"/>
      <w:lvlJc w:val="left"/>
      <w:pPr>
        <w:ind w:left="2127" w:hanging="360"/>
      </w:pPr>
      <w:rPr>
        <w:rFonts w:hint="default"/>
        <w:lang w:val="en-US" w:eastAsia="en-US" w:bidi="en-US"/>
      </w:rPr>
    </w:lvl>
    <w:lvl w:ilvl="3" w:tplc="8C704B30">
      <w:numFmt w:val="bullet"/>
      <w:lvlText w:val="•"/>
      <w:lvlJc w:val="left"/>
      <w:pPr>
        <w:ind w:left="3074" w:hanging="360"/>
      </w:pPr>
      <w:rPr>
        <w:rFonts w:hint="default"/>
        <w:lang w:val="en-US" w:eastAsia="en-US" w:bidi="en-US"/>
      </w:rPr>
    </w:lvl>
    <w:lvl w:ilvl="4" w:tplc="DD943196">
      <w:numFmt w:val="bullet"/>
      <w:lvlText w:val="•"/>
      <w:lvlJc w:val="left"/>
      <w:pPr>
        <w:ind w:left="4022" w:hanging="360"/>
      </w:pPr>
      <w:rPr>
        <w:rFonts w:hint="default"/>
        <w:lang w:val="en-US" w:eastAsia="en-US" w:bidi="en-US"/>
      </w:rPr>
    </w:lvl>
    <w:lvl w:ilvl="5" w:tplc="BFF80920">
      <w:numFmt w:val="bullet"/>
      <w:lvlText w:val="•"/>
      <w:lvlJc w:val="left"/>
      <w:pPr>
        <w:ind w:left="4969" w:hanging="360"/>
      </w:pPr>
      <w:rPr>
        <w:rFonts w:hint="default"/>
        <w:lang w:val="en-US" w:eastAsia="en-US" w:bidi="en-US"/>
      </w:rPr>
    </w:lvl>
    <w:lvl w:ilvl="6" w:tplc="6BD2B53A">
      <w:numFmt w:val="bullet"/>
      <w:lvlText w:val="•"/>
      <w:lvlJc w:val="left"/>
      <w:pPr>
        <w:ind w:left="5916" w:hanging="360"/>
      </w:pPr>
      <w:rPr>
        <w:rFonts w:hint="default"/>
        <w:lang w:val="en-US" w:eastAsia="en-US" w:bidi="en-US"/>
      </w:rPr>
    </w:lvl>
    <w:lvl w:ilvl="7" w:tplc="F05A3096">
      <w:numFmt w:val="bullet"/>
      <w:lvlText w:val="•"/>
      <w:lvlJc w:val="left"/>
      <w:pPr>
        <w:ind w:left="6864" w:hanging="360"/>
      </w:pPr>
      <w:rPr>
        <w:rFonts w:hint="default"/>
        <w:lang w:val="en-US" w:eastAsia="en-US" w:bidi="en-US"/>
      </w:rPr>
    </w:lvl>
    <w:lvl w:ilvl="8" w:tplc="3EAE0EB2">
      <w:numFmt w:val="bullet"/>
      <w:lvlText w:val="•"/>
      <w:lvlJc w:val="left"/>
      <w:pPr>
        <w:ind w:left="7811" w:hanging="360"/>
      </w:pPr>
      <w:rPr>
        <w:rFonts w:hint="default"/>
        <w:lang w:val="en-US" w:eastAsia="en-US" w:bidi="en-US"/>
      </w:rPr>
    </w:lvl>
  </w:abstractNum>
  <w:abstractNum w:abstractNumId="1" w15:restartNumberingAfterBreak="0">
    <w:nsid w:val="15837056"/>
    <w:multiLevelType w:val="hybridMultilevel"/>
    <w:tmpl w:val="AEA4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7590C"/>
    <w:multiLevelType w:val="hybridMultilevel"/>
    <w:tmpl w:val="EDE4E346"/>
    <w:lvl w:ilvl="0" w:tplc="A39AD308">
      <w:start w:val="1"/>
      <w:numFmt w:val="lowerLetter"/>
      <w:lvlText w:val="%1."/>
      <w:lvlJc w:val="left"/>
      <w:pPr>
        <w:ind w:left="820" w:hanging="360"/>
      </w:pPr>
      <w:rPr>
        <w:rFonts w:ascii="Arial" w:eastAsia="Arial" w:hAnsi="Arial" w:cs="Arial" w:hint="default"/>
        <w:spacing w:val="-1"/>
        <w:w w:val="99"/>
        <w:sz w:val="20"/>
        <w:szCs w:val="20"/>
        <w:lang w:val="en-US" w:eastAsia="en-US" w:bidi="en-US"/>
      </w:rPr>
    </w:lvl>
    <w:lvl w:ilvl="1" w:tplc="5E36ADEC">
      <w:start w:val="1"/>
      <w:numFmt w:val="lowerRoman"/>
      <w:lvlText w:val="%2."/>
      <w:lvlJc w:val="left"/>
      <w:pPr>
        <w:ind w:left="1233" w:hanging="425"/>
      </w:pPr>
      <w:rPr>
        <w:rFonts w:ascii="Arial" w:eastAsia="Arial" w:hAnsi="Arial" w:cs="Arial" w:hint="default"/>
        <w:spacing w:val="-2"/>
        <w:w w:val="99"/>
        <w:sz w:val="20"/>
        <w:szCs w:val="20"/>
        <w:lang w:val="en-US" w:eastAsia="en-US" w:bidi="en-US"/>
      </w:rPr>
    </w:lvl>
    <w:lvl w:ilvl="2" w:tplc="CA129F0C">
      <w:numFmt w:val="bullet"/>
      <w:lvlText w:val="•"/>
      <w:lvlJc w:val="left"/>
      <w:pPr>
        <w:ind w:left="2180" w:hanging="425"/>
      </w:pPr>
      <w:rPr>
        <w:rFonts w:hint="default"/>
        <w:lang w:val="en-US" w:eastAsia="en-US" w:bidi="en-US"/>
      </w:rPr>
    </w:lvl>
    <w:lvl w:ilvl="3" w:tplc="3D368B18">
      <w:numFmt w:val="bullet"/>
      <w:lvlText w:val="•"/>
      <w:lvlJc w:val="left"/>
      <w:pPr>
        <w:ind w:left="3121" w:hanging="425"/>
      </w:pPr>
      <w:rPr>
        <w:rFonts w:hint="default"/>
        <w:lang w:val="en-US" w:eastAsia="en-US" w:bidi="en-US"/>
      </w:rPr>
    </w:lvl>
    <w:lvl w:ilvl="4" w:tplc="854E6E96">
      <w:numFmt w:val="bullet"/>
      <w:lvlText w:val="•"/>
      <w:lvlJc w:val="left"/>
      <w:pPr>
        <w:ind w:left="4062" w:hanging="425"/>
      </w:pPr>
      <w:rPr>
        <w:rFonts w:hint="default"/>
        <w:lang w:val="en-US" w:eastAsia="en-US" w:bidi="en-US"/>
      </w:rPr>
    </w:lvl>
    <w:lvl w:ilvl="5" w:tplc="DE7A7556">
      <w:numFmt w:val="bullet"/>
      <w:lvlText w:val="•"/>
      <w:lvlJc w:val="left"/>
      <w:pPr>
        <w:ind w:left="5002" w:hanging="425"/>
      </w:pPr>
      <w:rPr>
        <w:rFonts w:hint="default"/>
        <w:lang w:val="en-US" w:eastAsia="en-US" w:bidi="en-US"/>
      </w:rPr>
    </w:lvl>
    <w:lvl w:ilvl="6" w:tplc="DD5226B6">
      <w:numFmt w:val="bullet"/>
      <w:lvlText w:val="•"/>
      <w:lvlJc w:val="left"/>
      <w:pPr>
        <w:ind w:left="5943" w:hanging="425"/>
      </w:pPr>
      <w:rPr>
        <w:rFonts w:hint="default"/>
        <w:lang w:val="en-US" w:eastAsia="en-US" w:bidi="en-US"/>
      </w:rPr>
    </w:lvl>
    <w:lvl w:ilvl="7" w:tplc="60CE41CE">
      <w:numFmt w:val="bullet"/>
      <w:lvlText w:val="•"/>
      <w:lvlJc w:val="left"/>
      <w:pPr>
        <w:ind w:left="6884" w:hanging="425"/>
      </w:pPr>
      <w:rPr>
        <w:rFonts w:hint="default"/>
        <w:lang w:val="en-US" w:eastAsia="en-US" w:bidi="en-US"/>
      </w:rPr>
    </w:lvl>
    <w:lvl w:ilvl="8" w:tplc="DAAE01D2">
      <w:numFmt w:val="bullet"/>
      <w:lvlText w:val="•"/>
      <w:lvlJc w:val="left"/>
      <w:pPr>
        <w:ind w:left="7824" w:hanging="425"/>
      </w:pPr>
      <w:rPr>
        <w:rFonts w:hint="default"/>
        <w:lang w:val="en-US" w:eastAsia="en-US" w:bidi="en-US"/>
      </w:rPr>
    </w:lvl>
  </w:abstractNum>
  <w:abstractNum w:abstractNumId="3" w15:restartNumberingAfterBreak="0">
    <w:nsid w:val="23495D3C"/>
    <w:multiLevelType w:val="hybridMultilevel"/>
    <w:tmpl w:val="104EFCA6"/>
    <w:lvl w:ilvl="0" w:tplc="3AC2840E">
      <w:start w:val="1"/>
      <w:numFmt w:val="lowerLetter"/>
      <w:lvlText w:val="%1."/>
      <w:lvlJc w:val="left"/>
      <w:pPr>
        <w:ind w:left="820" w:hanging="360"/>
      </w:pPr>
      <w:rPr>
        <w:rFonts w:ascii="Arial" w:eastAsia="Arial" w:hAnsi="Arial" w:cs="Arial" w:hint="default"/>
        <w:spacing w:val="-1"/>
        <w:w w:val="99"/>
        <w:sz w:val="20"/>
        <w:szCs w:val="20"/>
        <w:lang w:val="en-US" w:eastAsia="en-US" w:bidi="en-US"/>
      </w:rPr>
    </w:lvl>
    <w:lvl w:ilvl="1" w:tplc="93629964">
      <w:start w:val="1"/>
      <w:numFmt w:val="lowerRoman"/>
      <w:lvlText w:val="%2."/>
      <w:lvlJc w:val="left"/>
      <w:pPr>
        <w:ind w:left="1233" w:hanging="382"/>
      </w:pPr>
      <w:rPr>
        <w:rFonts w:ascii="Arial" w:eastAsia="Arial" w:hAnsi="Arial" w:cs="Arial" w:hint="default"/>
        <w:spacing w:val="-2"/>
        <w:w w:val="99"/>
        <w:sz w:val="20"/>
        <w:szCs w:val="20"/>
        <w:lang w:val="en-US" w:eastAsia="en-US" w:bidi="en-US"/>
      </w:rPr>
    </w:lvl>
    <w:lvl w:ilvl="2" w:tplc="FAE24CA4">
      <w:numFmt w:val="bullet"/>
      <w:lvlText w:val="•"/>
      <w:lvlJc w:val="left"/>
      <w:pPr>
        <w:ind w:left="2180" w:hanging="382"/>
      </w:pPr>
      <w:rPr>
        <w:rFonts w:hint="default"/>
        <w:lang w:val="en-US" w:eastAsia="en-US" w:bidi="en-US"/>
      </w:rPr>
    </w:lvl>
    <w:lvl w:ilvl="3" w:tplc="A162B0E8">
      <w:numFmt w:val="bullet"/>
      <w:lvlText w:val="•"/>
      <w:lvlJc w:val="left"/>
      <w:pPr>
        <w:ind w:left="3121" w:hanging="382"/>
      </w:pPr>
      <w:rPr>
        <w:rFonts w:hint="default"/>
        <w:lang w:val="en-US" w:eastAsia="en-US" w:bidi="en-US"/>
      </w:rPr>
    </w:lvl>
    <w:lvl w:ilvl="4" w:tplc="4DE85606">
      <w:numFmt w:val="bullet"/>
      <w:lvlText w:val="•"/>
      <w:lvlJc w:val="left"/>
      <w:pPr>
        <w:ind w:left="4062" w:hanging="382"/>
      </w:pPr>
      <w:rPr>
        <w:rFonts w:hint="default"/>
        <w:lang w:val="en-US" w:eastAsia="en-US" w:bidi="en-US"/>
      </w:rPr>
    </w:lvl>
    <w:lvl w:ilvl="5" w:tplc="B588A69E">
      <w:numFmt w:val="bullet"/>
      <w:lvlText w:val="•"/>
      <w:lvlJc w:val="left"/>
      <w:pPr>
        <w:ind w:left="5002" w:hanging="382"/>
      </w:pPr>
      <w:rPr>
        <w:rFonts w:hint="default"/>
        <w:lang w:val="en-US" w:eastAsia="en-US" w:bidi="en-US"/>
      </w:rPr>
    </w:lvl>
    <w:lvl w:ilvl="6" w:tplc="8FE482FA">
      <w:numFmt w:val="bullet"/>
      <w:lvlText w:val="•"/>
      <w:lvlJc w:val="left"/>
      <w:pPr>
        <w:ind w:left="5943" w:hanging="382"/>
      </w:pPr>
      <w:rPr>
        <w:rFonts w:hint="default"/>
        <w:lang w:val="en-US" w:eastAsia="en-US" w:bidi="en-US"/>
      </w:rPr>
    </w:lvl>
    <w:lvl w:ilvl="7" w:tplc="268647D4">
      <w:numFmt w:val="bullet"/>
      <w:lvlText w:val="•"/>
      <w:lvlJc w:val="left"/>
      <w:pPr>
        <w:ind w:left="6884" w:hanging="382"/>
      </w:pPr>
      <w:rPr>
        <w:rFonts w:hint="default"/>
        <w:lang w:val="en-US" w:eastAsia="en-US" w:bidi="en-US"/>
      </w:rPr>
    </w:lvl>
    <w:lvl w:ilvl="8" w:tplc="FDDA4074">
      <w:numFmt w:val="bullet"/>
      <w:lvlText w:val="•"/>
      <w:lvlJc w:val="left"/>
      <w:pPr>
        <w:ind w:left="7824" w:hanging="382"/>
      </w:pPr>
      <w:rPr>
        <w:rFonts w:hint="default"/>
        <w:lang w:val="en-US" w:eastAsia="en-US" w:bidi="en-US"/>
      </w:rPr>
    </w:lvl>
  </w:abstractNum>
  <w:abstractNum w:abstractNumId="4"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541E9"/>
    <w:multiLevelType w:val="hybridMultilevel"/>
    <w:tmpl w:val="A77CEBF6"/>
    <w:lvl w:ilvl="0" w:tplc="EE62DD6A">
      <w:start w:val="1"/>
      <w:numFmt w:val="lowerLetter"/>
      <w:lvlText w:val="%1."/>
      <w:lvlJc w:val="left"/>
      <w:pPr>
        <w:ind w:left="820" w:hanging="360"/>
      </w:pPr>
      <w:rPr>
        <w:rFonts w:ascii="Arial" w:eastAsia="Arial" w:hAnsi="Arial" w:cs="Arial" w:hint="default"/>
        <w:spacing w:val="-1"/>
        <w:w w:val="99"/>
        <w:sz w:val="20"/>
        <w:szCs w:val="20"/>
        <w:lang w:val="en-US" w:eastAsia="en-US" w:bidi="en-US"/>
      </w:rPr>
    </w:lvl>
    <w:lvl w:ilvl="1" w:tplc="E2C08984">
      <w:start w:val="1"/>
      <w:numFmt w:val="lowerRoman"/>
      <w:lvlText w:val="%2."/>
      <w:lvlJc w:val="left"/>
      <w:pPr>
        <w:ind w:left="1233" w:hanging="425"/>
      </w:pPr>
      <w:rPr>
        <w:rFonts w:ascii="Arial" w:eastAsia="Arial" w:hAnsi="Arial" w:cs="Arial" w:hint="default"/>
        <w:spacing w:val="-2"/>
        <w:w w:val="99"/>
        <w:sz w:val="20"/>
        <w:szCs w:val="20"/>
        <w:lang w:val="en-US" w:eastAsia="en-US" w:bidi="en-US"/>
      </w:rPr>
    </w:lvl>
    <w:lvl w:ilvl="2" w:tplc="27729C6C">
      <w:numFmt w:val="bullet"/>
      <w:lvlText w:val="•"/>
      <w:lvlJc w:val="left"/>
      <w:pPr>
        <w:ind w:left="2180" w:hanging="425"/>
      </w:pPr>
      <w:rPr>
        <w:rFonts w:hint="default"/>
        <w:lang w:val="en-US" w:eastAsia="en-US" w:bidi="en-US"/>
      </w:rPr>
    </w:lvl>
    <w:lvl w:ilvl="3" w:tplc="48984908">
      <w:numFmt w:val="bullet"/>
      <w:lvlText w:val="•"/>
      <w:lvlJc w:val="left"/>
      <w:pPr>
        <w:ind w:left="3121" w:hanging="425"/>
      </w:pPr>
      <w:rPr>
        <w:rFonts w:hint="default"/>
        <w:lang w:val="en-US" w:eastAsia="en-US" w:bidi="en-US"/>
      </w:rPr>
    </w:lvl>
    <w:lvl w:ilvl="4" w:tplc="1BA020C2">
      <w:numFmt w:val="bullet"/>
      <w:lvlText w:val="•"/>
      <w:lvlJc w:val="left"/>
      <w:pPr>
        <w:ind w:left="4062" w:hanging="425"/>
      </w:pPr>
      <w:rPr>
        <w:rFonts w:hint="default"/>
        <w:lang w:val="en-US" w:eastAsia="en-US" w:bidi="en-US"/>
      </w:rPr>
    </w:lvl>
    <w:lvl w:ilvl="5" w:tplc="FD6EFE8A">
      <w:numFmt w:val="bullet"/>
      <w:lvlText w:val="•"/>
      <w:lvlJc w:val="left"/>
      <w:pPr>
        <w:ind w:left="5002" w:hanging="425"/>
      </w:pPr>
      <w:rPr>
        <w:rFonts w:hint="default"/>
        <w:lang w:val="en-US" w:eastAsia="en-US" w:bidi="en-US"/>
      </w:rPr>
    </w:lvl>
    <w:lvl w:ilvl="6" w:tplc="BF547F0E">
      <w:numFmt w:val="bullet"/>
      <w:lvlText w:val="•"/>
      <w:lvlJc w:val="left"/>
      <w:pPr>
        <w:ind w:left="5943" w:hanging="425"/>
      </w:pPr>
      <w:rPr>
        <w:rFonts w:hint="default"/>
        <w:lang w:val="en-US" w:eastAsia="en-US" w:bidi="en-US"/>
      </w:rPr>
    </w:lvl>
    <w:lvl w:ilvl="7" w:tplc="B9A47846">
      <w:numFmt w:val="bullet"/>
      <w:lvlText w:val="•"/>
      <w:lvlJc w:val="left"/>
      <w:pPr>
        <w:ind w:left="6884" w:hanging="425"/>
      </w:pPr>
      <w:rPr>
        <w:rFonts w:hint="default"/>
        <w:lang w:val="en-US" w:eastAsia="en-US" w:bidi="en-US"/>
      </w:rPr>
    </w:lvl>
    <w:lvl w:ilvl="8" w:tplc="9C0847B4">
      <w:numFmt w:val="bullet"/>
      <w:lvlText w:val="•"/>
      <w:lvlJc w:val="left"/>
      <w:pPr>
        <w:ind w:left="7824" w:hanging="425"/>
      </w:pPr>
      <w:rPr>
        <w:rFonts w:hint="default"/>
        <w:lang w:val="en-US" w:eastAsia="en-US" w:bidi="en-US"/>
      </w:rPr>
    </w:lvl>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615703"/>
    <w:multiLevelType w:val="multilevel"/>
    <w:tmpl w:val="1B40C388"/>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upp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8F74F75"/>
    <w:multiLevelType w:val="hybridMultilevel"/>
    <w:tmpl w:val="634CB5E8"/>
    <w:lvl w:ilvl="0" w:tplc="1720800A">
      <w:start w:val="1"/>
      <w:numFmt w:val="lowerLetter"/>
      <w:lvlText w:val="%1."/>
      <w:lvlJc w:val="left"/>
      <w:pPr>
        <w:ind w:left="820" w:hanging="360"/>
      </w:pPr>
      <w:rPr>
        <w:rFonts w:ascii="Arial" w:eastAsia="Arial" w:hAnsi="Arial" w:cs="Arial" w:hint="default"/>
        <w:spacing w:val="-1"/>
        <w:w w:val="99"/>
        <w:sz w:val="22"/>
        <w:szCs w:val="22"/>
        <w:lang w:val="en-US" w:eastAsia="en-US" w:bidi="en-US"/>
      </w:rPr>
    </w:lvl>
    <w:lvl w:ilvl="1" w:tplc="D5B051F6">
      <w:start w:val="1"/>
      <w:numFmt w:val="lowerRoman"/>
      <w:lvlText w:val="%2."/>
      <w:lvlJc w:val="left"/>
      <w:pPr>
        <w:ind w:left="1233" w:hanging="425"/>
      </w:pPr>
      <w:rPr>
        <w:rFonts w:ascii="Arial" w:eastAsia="Arial" w:hAnsi="Arial" w:cs="Arial" w:hint="default"/>
        <w:spacing w:val="-2"/>
        <w:w w:val="99"/>
        <w:sz w:val="20"/>
        <w:szCs w:val="20"/>
        <w:lang w:val="en-US" w:eastAsia="en-US" w:bidi="en-US"/>
      </w:rPr>
    </w:lvl>
    <w:lvl w:ilvl="2" w:tplc="BB622D42">
      <w:numFmt w:val="bullet"/>
      <w:lvlText w:val="•"/>
      <w:lvlJc w:val="left"/>
      <w:pPr>
        <w:ind w:left="2180" w:hanging="425"/>
      </w:pPr>
      <w:rPr>
        <w:rFonts w:hint="default"/>
        <w:lang w:val="en-US" w:eastAsia="en-US" w:bidi="en-US"/>
      </w:rPr>
    </w:lvl>
    <w:lvl w:ilvl="3" w:tplc="910028BE">
      <w:numFmt w:val="bullet"/>
      <w:lvlText w:val="•"/>
      <w:lvlJc w:val="left"/>
      <w:pPr>
        <w:ind w:left="3121" w:hanging="425"/>
      </w:pPr>
      <w:rPr>
        <w:rFonts w:hint="default"/>
        <w:lang w:val="en-US" w:eastAsia="en-US" w:bidi="en-US"/>
      </w:rPr>
    </w:lvl>
    <w:lvl w:ilvl="4" w:tplc="6F72D41A">
      <w:numFmt w:val="bullet"/>
      <w:lvlText w:val="•"/>
      <w:lvlJc w:val="left"/>
      <w:pPr>
        <w:ind w:left="4062" w:hanging="425"/>
      </w:pPr>
      <w:rPr>
        <w:rFonts w:hint="default"/>
        <w:lang w:val="en-US" w:eastAsia="en-US" w:bidi="en-US"/>
      </w:rPr>
    </w:lvl>
    <w:lvl w:ilvl="5" w:tplc="A282C040">
      <w:numFmt w:val="bullet"/>
      <w:lvlText w:val="•"/>
      <w:lvlJc w:val="left"/>
      <w:pPr>
        <w:ind w:left="5002" w:hanging="425"/>
      </w:pPr>
      <w:rPr>
        <w:rFonts w:hint="default"/>
        <w:lang w:val="en-US" w:eastAsia="en-US" w:bidi="en-US"/>
      </w:rPr>
    </w:lvl>
    <w:lvl w:ilvl="6" w:tplc="F20EC596">
      <w:numFmt w:val="bullet"/>
      <w:lvlText w:val="•"/>
      <w:lvlJc w:val="left"/>
      <w:pPr>
        <w:ind w:left="5943" w:hanging="425"/>
      </w:pPr>
      <w:rPr>
        <w:rFonts w:hint="default"/>
        <w:lang w:val="en-US" w:eastAsia="en-US" w:bidi="en-US"/>
      </w:rPr>
    </w:lvl>
    <w:lvl w:ilvl="7" w:tplc="84B48C5A">
      <w:numFmt w:val="bullet"/>
      <w:lvlText w:val="•"/>
      <w:lvlJc w:val="left"/>
      <w:pPr>
        <w:ind w:left="6884" w:hanging="425"/>
      </w:pPr>
      <w:rPr>
        <w:rFonts w:hint="default"/>
        <w:lang w:val="en-US" w:eastAsia="en-US" w:bidi="en-US"/>
      </w:rPr>
    </w:lvl>
    <w:lvl w:ilvl="8" w:tplc="D7FEC3BA">
      <w:numFmt w:val="bullet"/>
      <w:lvlText w:val="•"/>
      <w:lvlJc w:val="left"/>
      <w:pPr>
        <w:ind w:left="7824" w:hanging="425"/>
      </w:pPr>
      <w:rPr>
        <w:rFonts w:hint="default"/>
        <w:lang w:val="en-US" w:eastAsia="en-US" w:bidi="en-US"/>
      </w:rPr>
    </w:lvl>
  </w:abstractNum>
  <w:abstractNum w:abstractNumId="12"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25684A"/>
    <w:multiLevelType w:val="hybridMultilevel"/>
    <w:tmpl w:val="7F0E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0C4771"/>
    <w:multiLevelType w:val="hybridMultilevel"/>
    <w:tmpl w:val="674A153C"/>
    <w:lvl w:ilvl="0" w:tplc="150EFEB8">
      <w:start w:val="1"/>
      <w:numFmt w:val="lowerRoman"/>
      <w:lvlText w:val="%1."/>
      <w:lvlJc w:val="left"/>
      <w:pPr>
        <w:ind w:left="1211" w:hanging="360"/>
      </w:pPr>
      <w:rPr>
        <w:rFonts w:ascii="Arial" w:eastAsia="Arial" w:hAnsi="Arial" w:cs="Arial"/>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79447AD0"/>
    <w:multiLevelType w:val="hybridMultilevel"/>
    <w:tmpl w:val="6E18F76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4967384">
    <w:abstractNumId w:val="19"/>
  </w:num>
  <w:num w:numId="2" w16cid:durableId="1350909753">
    <w:abstractNumId w:val="17"/>
  </w:num>
  <w:num w:numId="3" w16cid:durableId="1252935110">
    <w:abstractNumId w:val="17"/>
  </w:num>
  <w:num w:numId="4" w16cid:durableId="1275790971">
    <w:abstractNumId w:val="8"/>
  </w:num>
  <w:num w:numId="5" w16cid:durableId="416366118">
    <w:abstractNumId w:val="8"/>
  </w:num>
  <w:num w:numId="6" w16cid:durableId="1648589784">
    <w:abstractNumId w:val="8"/>
  </w:num>
  <w:num w:numId="7" w16cid:durableId="2133133383">
    <w:abstractNumId w:val="14"/>
  </w:num>
  <w:num w:numId="8" w16cid:durableId="1581257720">
    <w:abstractNumId w:val="13"/>
  </w:num>
  <w:num w:numId="9" w16cid:durableId="496968515">
    <w:abstractNumId w:val="13"/>
  </w:num>
  <w:num w:numId="10" w16cid:durableId="1328553474">
    <w:abstractNumId w:val="13"/>
  </w:num>
  <w:num w:numId="11" w16cid:durableId="440880037">
    <w:abstractNumId w:val="13"/>
  </w:num>
  <w:num w:numId="12" w16cid:durableId="2060737326">
    <w:abstractNumId w:val="13"/>
  </w:num>
  <w:num w:numId="13" w16cid:durableId="1674407464">
    <w:abstractNumId w:val="13"/>
  </w:num>
  <w:num w:numId="14" w16cid:durableId="1461218178">
    <w:abstractNumId w:val="13"/>
  </w:num>
  <w:num w:numId="15" w16cid:durableId="1580826555">
    <w:abstractNumId w:val="10"/>
  </w:num>
  <w:num w:numId="16" w16cid:durableId="2011983406">
    <w:abstractNumId w:val="10"/>
  </w:num>
  <w:num w:numId="17" w16cid:durableId="988246294">
    <w:abstractNumId w:val="10"/>
  </w:num>
  <w:num w:numId="18" w16cid:durableId="1193807557">
    <w:abstractNumId w:val="4"/>
  </w:num>
  <w:num w:numId="19" w16cid:durableId="455758463">
    <w:abstractNumId w:val="6"/>
  </w:num>
  <w:num w:numId="20" w16cid:durableId="1041399058">
    <w:abstractNumId w:val="7"/>
  </w:num>
  <w:num w:numId="21" w16cid:durableId="1972789283">
    <w:abstractNumId w:val="12"/>
  </w:num>
  <w:num w:numId="22" w16cid:durableId="115564481">
    <w:abstractNumId w:val="9"/>
  </w:num>
  <w:num w:numId="23" w16cid:durableId="1337927284">
    <w:abstractNumId w:val="19"/>
  </w:num>
  <w:num w:numId="24" w16cid:durableId="1487741586">
    <w:abstractNumId w:val="17"/>
  </w:num>
  <w:num w:numId="25" w16cid:durableId="1880972846">
    <w:abstractNumId w:val="17"/>
  </w:num>
  <w:num w:numId="26" w16cid:durableId="1960992296">
    <w:abstractNumId w:val="8"/>
  </w:num>
  <w:num w:numId="27" w16cid:durableId="1037242802">
    <w:abstractNumId w:val="8"/>
  </w:num>
  <w:num w:numId="28" w16cid:durableId="2141655055">
    <w:abstractNumId w:val="8"/>
  </w:num>
  <w:num w:numId="29" w16cid:durableId="1070620921">
    <w:abstractNumId w:val="14"/>
  </w:num>
  <w:num w:numId="30" w16cid:durableId="1184442264">
    <w:abstractNumId w:val="13"/>
  </w:num>
  <w:num w:numId="31" w16cid:durableId="855727431">
    <w:abstractNumId w:val="13"/>
  </w:num>
  <w:num w:numId="32" w16cid:durableId="274362073">
    <w:abstractNumId w:val="13"/>
  </w:num>
  <w:num w:numId="33" w16cid:durableId="117721093">
    <w:abstractNumId w:val="13"/>
  </w:num>
  <w:num w:numId="34" w16cid:durableId="1096974249">
    <w:abstractNumId w:val="13"/>
  </w:num>
  <w:num w:numId="35" w16cid:durableId="1838418863">
    <w:abstractNumId w:val="13"/>
  </w:num>
  <w:num w:numId="36" w16cid:durableId="1898543309">
    <w:abstractNumId w:val="13"/>
  </w:num>
  <w:num w:numId="37" w16cid:durableId="1066025503">
    <w:abstractNumId w:val="10"/>
  </w:num>
  <w:num w:numId="38" w16cid:durableId="100154375">
    <w:abstractNumId w:val="10"/>
  </w:num>
  <w:num w:numId="39" w16cid:durableId="1323970645">
    <w:abstractNumId w:val="10"/>
  </w:num>
  <w:num w:numId="40" w16cid:durableId="525757469">
    <w:abstractNumId w:val="4"/>
  </w:num>
  <w:num w:numId="41" w16cid:durableId="843975016">
    <w:abstractNumId w:val="6"/>
  </w:num>
  <w:num w:numId="42" w16cid:durableId="1795052925">
    <w:abstractNumId w:val="7"/>
  </w:num>
  <w:num w:numId="43" w16cid:durableId="884176291">
    <w:abstractNumId w:val="12"/>
  </w:num>
  <w:num w:numId="44" w16cid:durableId="1169907186">
    <w:abstractNumId w:val="9"/>
  </w:num>
  <w:num w:numId="45" w16cid:durableId="797142424">
    <w:abstractNumId w:val="11"/>
  </w:num>
  <w:num w:numId="46" w16cid:durableId="1492719978">
    <w:abstractNumId w:val="5"/>
  </w:num>
  <w:num w:numId="47" w16cid:durableId="1282540761">
    <w:abstractNumId w:val="2"/>
  </w:num>
  <w:num w:numId="48" w16cid:durableId="1408191776">
    <w:abstractNumId w:val="3"/>
  </w:num>
  <w:num w:numId="49" w16cid:durableId="248663057">
    <w:abstractNumId w:val="0"/>
  </w:num>
  <w:num w:numId="50" w16cid:durableId="306589323">
    <w:abstractNumId w:val="16"/>
  </w:num>
  <w:num w:numId="51" w16cid:durableId="1773234339">
    <w:abstractNumId w:val="18"/>
  </w:num>
  <w:num w:numId="52" w16cid:durableId="935481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56405616">
    <w:abstractNumId w:val="10"/>
  </w:num>
  <w:num w:numId="54" w16cid:durableId="1450052751">
    <w:abstractNumId w:val="10"/>
  </w:num>
  <w:num w:numId="55" w16cid:durableId="1089277651">
    <w:abstractNumId w:val="10"/>
  </w:num>
  <w:num w:numId="56" w16cid:durableId="1234124590">
    <w:abstractNumId w:val="10"/>
  </w:num>
  <w:num w:numId="57" w16cid:durableId="15426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42449860">
    <w:abstractNumId w:val="10"/>
  </w:num>
  <w:num w:numId="59" w16cid:durableId="571425567">
    <w:abstractNumId w:val="10"/>
  </w:num>
  <w:num w:numId="60" w16cid:durableId="1400245780">
    <w:abstractNumId w:val="10"/>
  </w:num>
  <w:num w:numId="61" w16cid:durableId="9933384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915400">
    <w:abstractNumId w:val="10"/>
  </w:num>
  <w:num w:numId="63" w16cid:durableId="1333139337">
    <w:abstractNumId w:val="10"/>
  </w:num>
  <w:num w:numId="64" w16cid:durableId="1039941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61322900">
    <w:abstractNumId w:val="10"/>
  </w:num>
  <w:num w:numId="66" w16cid:durableId="495920210">
    <w:abstractNumId w:val="10"/>
  </w:num>
  <w:num w:numId="67" w16cid:durableId="166674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23109933">
    <w:abstractNumId w:val="8"/>
  </w:num>
  <w:num w:numId="69" w16cid:durableId="1228608773">
    <w:abstractNumId w:val="8"/>
  </w:num>
  <w:num w:numId="70" w16cid:durableId="994262930">
    <w:abstractNumId w:val="1"/>
  </w:num>
  <w:num w:numId="71" w16cid:durableId="111176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5143551">
    <w:abstractNumId w:val="15"/>
  </w:num>
  <w:num w:numId="73" w16cid:durableId="961424952">
    <w:abstractNumId w:val="8"/>
  </w:num>
  <w:num w:numId="74" w16cid:durableId="1571189062">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40DB0"/>
    <w:rsid w:val="0004187E"/>
    <w:rsid w:val="00083AE7"/>
    <w:rsid w:val="000C4E15"/>
    <w:rsid w:val="000E6CAF"/>
    <w:rsid w:val="00117AE0"/>
    <w:rsid w:val="00131686"/>
    <w:rsid w:val="00137A2A"/>
    <w:rsid w:val="00145B13"/>
    <w:rsid w:val="001476BC"/>
    <w:rsid w:val="00170839"/>
    <w:rsid w:val="00182C60"/>
    <w:rsid w:val="001A02D6"/>
    <w:rsid w:val="001A62C1"/>
    <w:rsid w:val="001B0C26"/>
    <w:rsid w:val="001B65DA"/>
    <w:rsid w:val="001B7247"/>
    <w:rsid w:val="001C1D65"/>
    <w:rsid w:val="001F39F5"/>
    <w:rsid w:val="00241C4A"/>
    <w:rsid w:val="00272A66"/>
    <w:rsid w:val="0028041D"/>
    <w:rsid w:val="00285E25"/>
    <w:rsid w:val="002A0158"/>
    <w:rsid w:val="002C5FAB"/>
    <w:rsid w:val="002D4D51"/>
    <w:rsid w:val="002D68DE"/>
    <w:rsid w:val="002D6F7F"/>
    <w:rsid w:val="002E1A7F"/>
    <w:rsid w:val="00330FA6"/>
    <w:rsid w:val="00336E2D"/>
    <w:rsid w:val="00392F66"/>
    <w:rsid w:val="00395FE5"/>
    <w:rsid w:val="003A09DB"/>
    <w:rsid w:val="003B414F"/>
    <w:rsid w:val="003D425E"/>
    <w:rsid w:val="003E2C93"/>
    <w:rsid w:val="00413F6E"/>
    <w:rsid w:val="00422F7E"/>
    <w:rsid w:val="00426686"/>
    <w:rsid w:val="004425B8"/>
    <w:rsid w:val="004C01CD"/>
    <w:rsid w:val="004D4277"/>
    <w:rsid w:val="00524A58"/>
    <w:rsid w:val="00541403"/>
    <w:rsid w:val="005538F1"/>
    <w:rsid w:val="005B458E"/>
    <w:rsid w:val="006324E6"/>
    <w:rsid w:val="00662CF7"/>
    <w:rsid w:val="00665203"/>
    <w:rsid w:val="006C328D"/>
    <w:rsid w:val="006C4EE8"/>
    <w:rsid w:val="006D49B0"/>
    <w:rsid w:val="0071654E"/>
    <w:rsid w:val="00723BBA"/>
    <w:rsid w:val="007301D9"/>
    <w:rsid w:val="00740C06"/>
    <w:rsid w:val="00755C0F"/>
    <w:rsid w:val="00773A41"/>
    <w:rsid w:val="007767FF"/>
    <w:rsid w:val="00782F11"/>
    <w:rsid w:val="007B01C8"/>
    <w:rsid w:val="007E12DC"/>
    <w:rsid w:val="007E451E"/>
    <w:rsid w:val="007F4039"/>
    <w:rsid w:val="007F78F7"/>
    <w:rsid w:val="00823786"/>
    <w:rsid w:val="00876BAD"/>
    <w:rsid w:val="00883D88"/>
    <w:rsid w:val="0089577B"/>
    <w:rsid w:val="008B737B"/>
    <w:rsid w:val="008D4EF3"/>
    <w:rsid w:val="00960ACA"/>
    <w:rsid w:val="00966628"/>
    <w:rsid w:val="009B769E"/>
    <w:rsid w:val="00A04DCC"/>
    <w:rsid w:val="00A57881"/>
    <w:rsid w:val="00A80004"/>
    <w:rsid w:val="00AB6DB5"/>
    <w:rsid w:val="00AE0992"/>
    <w:rsid w:val="00AF0E3E"/>
    <w:rsid w:val="00B475A7"/>
    <w:rsid w:val="00B7155C"/>
    <w:rsid w:val="00B75FB9"/>
    <w:rsid w:val="00B827A4"/>
    <w:rsid w:val="00B945F0"/>
    <w:rsid w:val="00BA1D86"/>
    <w:rsid w:val="00BA6E23"/>
    <w:rsid w:val="00BC15C1"/>
    <w:rsid w:val="00BC5905"/>
    <w:rsid w:val="00BD05D5"/>
    <w:rsid w:val="00BE5355"/>
    <w:rsid w:val="00C769D2"/>
    <w:rsid w:val="00C87525"/>
    <w:rsid w:val="00CA47AD"/>
    <w:rsid w:val="00CB128A"/>
    <w:rsid w:val="00CB6D2E"/>
    <w:rsid w:val="00CC7716"/>
    <w:rsid w:val="00D43E79"/>
    <w:rsid w:val="00D53930"/>
    <w:rsid w:val="00D53ADA"/>
    <w:rsid w:val="00D61292"/>
    <w:rsid w:val="00D840C1"/>
    <w:rsid w:val="00D86D86"/>
    <w:rsid w:val="00D93122"/>
    <w:rsid w:val="00DA7BCF"/>
    <w:rsid w:val="00DB2E4B"/>
    <w:rsid w:val="00DB765A"/>
    <w:rsid w:val="00DC2A31"/>
    <w:rsid w:val="00E1519D"/>
    <w:rsid w:val="00E15E2F"/>
    <w:rsid w:val="00E37624"/>
    <w:rsid w:val="00E420A9"/>
    <w:rsid w:val="00E45204"/>
    <w:rsid w:val="00EA4438"/>
    <w:rsid w:val="00EB4ABE"/>
    <w:rsid w:val="00EC7CD6"/>
    <w:rsid w:val="00ED2525"/>
    <w:rsid w:val="00EE7685"/>
    <w:rsid w:val="00F01126"/>
    <w:rsid w:val="00F10DC3"/>
    <w:rsid w:val="00F14570"/>
    <w:rsid w:val="00F17B04"/>
    <w:rsid w:val="00F20A31"/>
    <w:rsid w:val="00F4291B"/>
    <w:rsid w:val="00FB030E"/>
    <w:rsid w:val="00FC04C1"/>
    <w:rsid w:val="00FD7CD8"/>
    <w:rsid w:val="00FE29FA"/>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E9AC2"/>
  <w15:docId w15:val="{55DE76BA-4093-4B02-966F-8DC8369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E37624"/>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E37624"/>
    <w:rPr>
      <w:rFonts w:asciiTheme="majorHAnsi" w:eastAsiaTheme="majorEastAsia" w:hAnsiTheme="majorHAnsi" w:cstheme="majorBidi"/>
      <w:b/>
      <w:color w:val="00A398"/>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1"/>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BodyText">
    <w:name w:val="Body Text"/>
    <w:basedOn w:val="Normal"/>
    <w:link w:val="BodyTextChar"/>
    <w:uiPriority w:val="1"/>
    <w:qFormat/>
    <w:rsid w:val="00182C60"/>
    <w:pPr>
      <w:widowControl w:val="0"/>
      <w:autoSpaceDE w:val="0"/>
      <w:autoSpaceDN w:val="0"/>
      <w:spacing w:before="0" w:after="0"/>
    </w:pPr>
    <w:rPr>
      <w:rFonts w:ascii="Arial" w:eastAsia="Arial" w:hAnsi="Arial" w:cs="Arial"/>
      <w:color w:val="auto"/>
      <w:sz w:val="20"/>
      <w:szCs w:val="20"/>
      <w:lang w:val="en-US" w:bidi="en-US"/>
    </w:rPr>
  </w:style>
  <w:style w:type="character" w:customStyle="1" w:styleId="BodyTextChar">
    <w:name w:val="Body Text Char"/>
    <w:basedOn w:val="DefaultParagraphFont"/>
    <w:link w:val="BodyText"/>
    <w:uiPriority w:val="1"/>
    <w:rsid w:val="00182C60"/>
    <w:rPr>
      <w:rFonts w:ascii="Arial" w:eastAsia="Arial" w:hAnsi="Arial" w:cs="Arial"/>
      <w:color w:val="auto"/>
      <w:sz w:val="20"/>
      <w:szCs w:val="20"/>
      <w:lang w:val="en-US" w:bidi="en-US"/>
    </w:rPr>
  </w:style>
  <w:style w:type="paragraph" w:styleId="ListParagraph">
    <w:name w:val="List Paragraph"/>
    <w:aliases w:val="L"/>
    <w:basedOn w:val="Normal"/>
    <w:link w:val="ListParagraphChar"/>
    <w:uiPriority w:val="34"/>
    <w:qFormat/>
    <w:rsid w:val="00182C60"/>
    <w:pPr>
      <w:widowControl w:val="0"/>
      <w:autoSpaceDE w:val="0"/>
      <w:autoSpaceDN w:val="0"/>
      <w:spacing w:before="90" w:after="0"/>
      <w:ind w:left="1233" w:hanging="426"/>
    </w:pPr>
    <w:rPr>
      <w:rFonts w:ascii="Arial" w:eastAsia="Arial" w:hAnsi="Arial" w:cs="Arial"/>
      <w:color w:val="auto"/>
      <w:lang w:val="en-US" w:bidi="en-US"/>
    </w:rPr>
  </w:style>
  <w:style w:type="paragraph" w:customStyle="1" w:styleId="TableParagraph">
    <w:name w:val="Table Paragraph"/>
    <w:basedOn w:val="Normal"/>
    <w:uiPriority w:val="1"/>
    <w:qFormat/>
    <w:rsid w:val="00182C60"/>
    <w:pPr>
      <w:widowControl w:val="0"/>
      <w:autoSpaceDE w:val="0"/>
      <w:autoSpaceDN w:val="0"/>
      <w:spacing w:before="98" w:after="0"/>
      <w:ind w:left="102"/>
    </w:pPr>
    <w:rPr>
      <w:rFonts w:ascii="Arial" w:eastAsia="Arial" w:hAnsi="Arial" w:cs="Arial"/>
      <w:color w:val="auto"/>
      <w:lang w:val="en-US" w:bidi="en-US"/>
    </w:rPr>
  </w:style>
  <w:style w:type="character" w:styleId="CommentReference">
    <w:name w:val="annotation reference"/>
    <w:basedOn w:val="DefaultParagraphFont"/>
    <w:uiPriority w:val="99"/>
    <w:semiHidden/>
    <w:unhideWhenUsed/>
    <w:rsid w:val="00182C60"/>
    <w:rPr>
      <w:sz w:val="16"/>
      <w:szCs w:val="16"/>
    </w:rPr>
  </w:style>
  <w:style w:type="paragraph" w:styleId="CommentText">
    <w:name w:val="annotation text"/>
    <w:basedOn w:val="Normal"/>
    <w:link w:val="CommentTextChar"/>
    <w:uiPriority w:val="99"/>
    <w:unhideWhenUsed/>
    <w:rsid w:val="00182C60"/>
    <w:pPr>
      <w:widowControl w:val="0"/>
      <w:autoSpaceDE w:val="0"/>
      <w:autoSpaceDN w:val="0"/>
      <w:spacing w:before="0" w:after="0"/>
    </w:pPr>
    <w:rPr>
      <w:rFonts w:ascii="Arial" w:eastAsia="Arial" w:hAnsi="Arial" w:cs="Arial"/>
      <w:color w:val="auto"/>
      <w:sz w:val="20"/>
      <w:szCs w:val="20"/>
      <w:lang w:val="en-US" w:bidi="en-US"/>
    </w:rPr>
  </w:style>
  <w:style w:type="character" w:customStyle="1" w:styleId="CommentTextChar">
    <w:name w:val="Comment Text Char"/>
    <w:basedOn w:val="DefaultParagraphFont"/>
    <w:link w:val="CommentText"/>
    <w:uiPriority w:val="99"/>
    <w:rsid w:val="00182C60"/>
    <w:rPr>
      <w:rFonts w:ascii="Arial" w:eastAsia="Arial" w:hAnsi="Arial" w:cs="Arial"/>
      <w:color w:val="auto"/>
      <w:sz w:val="20"/>
      <w:szCs w:val="20"/>
      <w:lang w:val="en-US" w:bidi="en-US"/>
    </w:rPr>
  </w:style>
  <w:style w:type="table" w:styleId="TableGrid">
    <w:name w:val="Table Grid"/>
    <w:basedOn w:val="TableNormal"/>
    <w:uiPriority w:val="59"/>
    <w:rsid w:val="00182C6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 Char"/>
    <w:basedOn w:val="DefaultParagraphFont"/>
    <w:link w:val="ListParagraph"/>
    <w:uiPriority w:val="34"/>
    <w:rsid w:val="00182C60"/>
    <w:rPr>
      <w:rFonts w:ascii="Arial" w:eastAsia="Arial" w:hAnsi="Arial" w:cs="Arial"/>
      <w:color w:val="auto"/>
      <w:lang w:val="en-US" w:bidi="en-US"/>
    </w:rPr>
  </w:style>
  <w:style w:type="character" w:styleId="Hyperlink">
    <w:name w:val="Hyperlink"/>
    <w:basedOn w:val="DefaultParagraphFont"/>
    <w:uiPriority w:val="99"/>
    <w:unhideWhenUsed/>
    <w:rsid w:val="00182C60"/>
    <w:rPr>
      <w:color w:val="00847E" w:themeColor="hyperlink"/>
      <w:u w:val="single"/>
    </w:rPr>
  </w:style>
  <w:style w:type="paragraph" w:styleId="CommentSubject">
    <w:name w:val="annotation subject"/>
    <w:basedOn w:val="CommentText"/>
    <w:next w:val="CommentText"/>
    <w:link w:val="CommentSubjectChar"/>
    <w:uiPriority w:val="99"/>
    <w:semiHidden/>
    <w:unhideWhenUsed/>
    <w:rsid w:val="00395FE5"/>
    <w:pPr>
      <w:widowControl/>
      <w:autoSpaceDE/>
      <w:autoSpaceDN/>
      <w:spacing w:before="120" w:after="120"/>
    </w:pPr>
    <w:rPr>
      <w:rFonts w:asciiTheme="minorHAnsi" w:eastAsiaTheme="minorHAnsi" w:hAnsiTheme="minorHAnsi" w:cstheme="minorBidi"/>
      <w:b/>
      <w:bCs/>
      <w:color w:val="000000" w:themeColor="text1"/>
      <w:lang w:val="en-AU" w:bidi="ar-SA"/>
    </w:rPr>
  </w:style>
  <w:style w:type="character" w:customStyle="1" w:styleId="CommentSubjectChar">
    <w:name w:val="Comment Subject Char"/>
    <w:basedOn w:val="CommentTextChar"/>
    <w:link w:val="CommentSubject"/>
    <w:uiPriority w:val="99"/>
    <w:semiHidden/>
    <w:rsid w:val="00395FE5"/>
    <w:rPr>
      <w:rFonts w:ascii="Arial" w:eastAsia="Arial" w:hAnsi="Arial" w:cs="Arial"/>
      <w:b/>
      <w:bCs/>
      <w:color w:val="auto"/>
      <w:sz w:val="20"/>
      <w:szCs w:val="20"/>
      <w:lang w:val="en-US" w:bidi="en-US"/>
    </w:rPr>
  </w:style>
  <w:style w:type="paragraph" w:styleId="FootnoteText">
    <w:name w:val="footnote text"/>
    <w:basedOn w:val="Normal"/>
    <w:link w:val="FootnoteTextChar"/>
    <w:uiPriority w:val="99"/>
    <w:semiHidden/>
    <w:unhideWhenUsed/>
    <w:rsid w:val="00336E2D"/>
    <w:pPr>
      <w:spacing w:before="0" w:after="0"/>
    </w:pPr>
    <w:rPr>
      <w:sz w:val="20"/>
      <w:szCs w:val="20"/>
    </w:rPr>
  </w:style>
  <w:style w:type="character" w:customStyle="1" w:styleId="FootnoteTextChar">
    <w:name w:val="Footnote Text Char"/>
    <w:basedOn w:val="DefaultParagraphFont"/>
    <w:link w:val="FootnoteText"/>
    <w:uiPriority w:val="99"/>
    <w:semiHidden/>
    <w:rsid w:val="00336E2D"/>
    <w:rPr>
      <w:sz w:val="20"/>
      <w:szCs w:val="20"/>
    </w:rPr>
  </w:style>
  <w:style w:type="character" w:styleId="FootnoteReference">
    <w:name w:val="footnote reference"/>
    <w:basedOn w:val="DefaultParagraphFont"/>
    <w:uiPriority w:val="99"/>
    <w:semiHidden/>
    <w:unhideWhenUsed/>
    <w:rsid w:val="00336E2D"/>
    <w:rPr>
      <w:vertAlign w:val="superscript"/>
    </w:rPr>
  </w:style>
  <w:style w:type="paragraph" w:styleId="Revision">
    <w:name w:val="Revision"/>
    <w:hidden/>
    <w:uiPriority w:val="99"/>
    <w:semiHidden/>
    <w:rsid w:val="00F01126"/>
    <w:pPr>
      <w:spacing w:before="0" w:after="0"/>
    </w:pPr>
  </w:style>
  <w:style w:type="paragraph" w:customStyle="1" w:styleId="subsection">
    <w:name w:val="subsection"/>
    <w:aliases w:val="ss"/>
    <w:basedOn w:val="Normal"/>
    <w:link w:val="subsectionChar"/>
    <w:rsid w:val="00755C0F"/>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paragraph">
    <w:name w:val="paragraph"/>
    <w:aliases w:val="a"/>
    <w:basedOn w:val="Normal"/>
    <w:link w:val="paragraphChar"/>
    <w:rsid w:val="00755C0F"/>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rsid w:val="00755C0F"/>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rsid w:val="00755C0F"/>
    <w:rPr>
      <w:rFonts w:ascii="Times New Roman" w:eastAsia="Times New Roman" w:hAnsi="Times New Roman" w:cs="Times New Roman"/>
      <w:color w:val="auto"/>
      <w:szCs w:val="20"/>
      <w:lang w:eastAsia="en-AU"/>
    </w:rPr>
  </w:style>
  <w:style w:type="character" w:styleId="UnresolvedMention">
    <w:name w:val="Unresolved Mention"/>
    <w:basedOn w:val="DefaultParagraphFont"/>
    <w:uiPriority w:val="99"/>
    <w:semiHidden/>
    <w:unhideWhenUsed/>
    <w:rsid w:val="00D86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22L014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F2022L015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7ed8e14f43427cfe5eb1a260634f27d7">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778f9bdcf740ff7848cf507fb5d2ffa3"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PS Employee Census"/>
                    <xsd:enumeration value="Assessment and Investigations"/>
                    <xsd:enumeration value="Assurance"/>
                    <xsd:enumeration value="Business Solutions"/>
                    <xsd:enumeration value="Case Management Handbook"/>
                    <xsd:enumeration value="Commission"/>
                    <xsd:enumeration value="Corporate"/>
                    <xsd:enumeration value="CRM"/>
                    <xsd:enumeration value="Emergency"/>
                    <xsd:enumeration value="Engagement"/>
                    <xsd:enumeration value="Enterprise Agreement"/>
                    <xsd:enumeration value="Executive Office"/>
                    <xsd:enumeration value="Finance"/>
                    <xsd:enumeration value="Governance"/>
                    <xsd:enumeration value="HR Policies and Procedures"/>
                    <xsd:enumeration value="Inclusion and Diversity"/>
                    <xsd:enumeration value="IT"/>
                    <xsd:enumeration value="Learning Committee"/>
                    <xsd:enumeration value="Learning Development"/>
                    <xsd:enumeration value="Legal"/>
                    <xsd:enumeration value="Library"/>
                    <xsd:enumeration value="Mental Health"/>
                    <xsd:enumeration value="Parliamentary Liaison"/>
                    <xsd:enumeration value="People and Capability"/>
                    <xsd:enumeration value="Policy and Analysis"/>
                    <xsd:enumeration value="Quality Assurance"/>
                    <xsd:enumeration value="Reception"/>
                    <xsd:enumeration value="Records Management"/>
                    <xsd:enumeration value="Regulatory Operations"/>
                    <xsd:enumeration value="RUOK"/>
                    <xsd:enumeration value="Secretariat"/>
                    <xsd:enumeration value="Security"/>
                    <xsd:enumeration value="SMT"/>
                    <xsd:enumeration value="Social club"/>
                    <xsd:enumeration value="Social media"/>
                    <xsd:enumeration value="Specialisation"/>
                    <xsd:enumeration value="Staff Consultative Committee"/>
                    <xsd:enumeration value="Thematic Analysis"/>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9B22B-95AE-4B92-A367-9E7703EE4701}">
  <ds:schemaRefs>
    <ds:schemaRef ds:uri="http://schemas.openxmlformats.org/officeDocument/2006/bibliography"/>
  </ds:schemaRefs>
</ds:datastoreItem>
</file>

<file path=customXml/itemProps2.xml><?xml version="1.0" encoding="utf-8"?>
<ds:datastoreItem xmlns:ds="http://schemas.openxmlformats.org/officeDocument/2006/customXml" ds:itemID="{A82E1C12-8773-409A-B29D-4FC4E6BF5F01}">
  <ds:schemaRefs>
    <ds:schemaRef ds:uri="http://schemas.microsoft.com/office/infopath/2007/PartnerControls"/>
    <ds:schemaRef ds:uri="http://purl.org/dc/dcmitype/"/>
    <ds:schemaRef ds:uri="http://schemas.microsoft.com/office/2006/documentManagement/types"/>
    <ds:schemaRef ds:uri="28b94040-26a8-469a-8038-0c82e6a14f19"/>
    <ds:schemaRef ds:uri="http://schemas.openxmlformats.org/package/2006/metadata/core-properties"/>
    <ds:schemaRef ds:uri="http://purl.org/dc/elements/1.1/"/>
    <ds:schemaRef ds:uri="http://schemas.microsoft.com/office/2006/metadata/properties"/>
    <ds:schemaRef ds:uri="979ab06a-6535-4638-b59f-980faa50cb4b"/>
    <ds:schemaRef ds:uri="http://www.w3.org/XML/1998/namespace"/>
    <ds:schemaRef ds:uri="http://purl.org/dc/terms/"/>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2488EF7B-7AC6-474B-BAA1-F36DC2575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Guide to conditions</vt:lpstr>
    </vt:vector>
  </TitlesOfParts>
  <Company>Tertiary Education Quality and Standards Agency</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conditions</dc:title>
  <dc:creator>May, Raphael</dc:creator>
  <cp:lastModifiedBy>Tom Hewitt-McManus</cp:lastModifiedBy>
  <cp:revision>5</cp:revision>
  <dcterms:created xsi:type="dcterms:W3CDTF">2021-01-14T00:27:00Z</dcterms:created>
  <dcterms:modified xsi:type="dcterms:W3CDTF">2022-12-16T05:19:00Z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