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9EAD" w14:textId="757AD0D9" w:rsidR="00A47C2B" w:rsidRDefault="00A47C2B" w:rsidP="00A47C2B">
      <w:pPr>
        <w:pStyle w:val="Heading1"/>
      </w:pPr>
      <w:bookmarkStart w:id="0" w:name="_Hlk114137708"/>
      <w:bookmarkStart w:id="1" w:name="_Hlk114137383"/>
      <w:r w:rsidRPr="002F2A99">
        <w:t>Guide</w:t>
      </w:r>
      <w:r w:rsidR="00BC505A">
        <w:t xml:space="preserve"> for</w:t>
      </w:r>
      <w:r w:rsidR="00B200C3">
        <w:t xml:space="preserve"> CRICOS providers undertaking an independent external audit</w:t>
      </w:r>
    </w:p>
    <w:p w14:paraId="7AD9081C" w14:textId="23A0183B" w:rsidR="00BC505A" w:rsidRDefault="00BC505A" w:rsidP="0095396C">
      <w:pPr>
        <w:pStyle w:val="Heading2"/>
      </w:pPr>
      <w:r>
        <w:t>Purpose</w:t>
      </w:r>
      <w:bookmarkEnd w:id="0"/>
    </w:p>
    <w:p w14:paraId="0F0D95A0" w14:textId="0486934D" w:rsidR="00751551" w:rsidRDefault="00BC505A" w:rsidP="00BC505A">
      <w:r>
        <w:t xml:space="preserve">This guide sets out </w:t>
      </w:r>
      <w:r w:rsidR="004A2C99">
        <w:t>TEQSA’s expectations</w:t>
      </w:r>
      <w:r>
        <w:t xml:space="preserve"> </w:t>
      </w:r>
      <w:r w:rsidR="002A0B31">
        <w:t xml:space="preserve">for the </w:t>
      </w:r>
      <w:r>
        <w:t>independent external audit</w:t>
      </w:r>
      <w:r w:rsidR="00B200C3">
        <w:t xml:space="preserve"> (</w:t>
      </w:r>
      <w:r w:rsidR="00BD565C">
        <w:t>external</w:t>
      </w:r>
      <w:r w:rsidR="00B200C3">
        <w:t xml:space="preserve"> audit)</w:t>
      </w:r>
      <w:r w:rsidR="004A2C99">
        <w:t xml:space="preserve"> </w:t>
      </w:r>
      <w:r w:rsidR="002A0B31">
        <w:t>process for providers with self-accrediting authority (SAA) applying to renew their</w:t>
      </w:r>
      <w:r w:rsidR="004A2C99">
        <w:t xml:space="preserve"> CRICOS registration.</w:t>
      </w:r>
      <w:r w:rsidR="002A0B31">
        <w:t xml:space="preserve"> </w:t>
      </w:r>
    </w:p>
    <w:p w14:paraId="5CE4A92A" w14:textId="318FE7DC" w:rsidR="00050348" w:rsidRDefault="00ED17F8" w:rsidP="00BC505A">
      <w:r>
        <w:t xml:space="preserve">Standard 11.4 of the </w:t>
      </w:r>
      <w:r w:rsidR="00681822" w:rsidRPr="00B200C3">
        <w:rPr>
          <w:i/>
          <w:iCs/>
        </w:rPr>
        <w:t>National Code of Practice for Providers of Education and Training to Overseas Students</w:t>
      </w:r>
      <w:r w:rsidR="0095396C" w:rsidRPr="00B200C3">
        <w:rPr>
          <w:i/>
          <w:iCs/>
        </w:rPr>
        <w:t xml:space="preserve"> 2018</w:t>
      </w:r>
      <w:r w:rsidR="00681822">
        <w:t xml:space="preserve"> </w:t>
      </w:r>
      <w:r w:rsidR="0095396C">
        <w:t>(</w:t>
      </w:r>
      <w:r w:rsidRPr="00B200C3">
        <w:t>National Code</w:t>
      </w:r>
      <w:r w:rsidR="0095396C">
        <w:t>)</w:t>
      </w:r>
      <w:r>
        <w:t xml:space="preserve"> requires providers</w:t>
      </w:r>
      <w:r w:rsidR="002A0B31">
        <w:t xml:space="preserve"> with SAA</w:t>
      </w:r>
      <w:r>
        <w:t xml:space="preserve"> to undertake</w:t>
      </w:r>
      <w:r w:rsidRPr="00ED17F8">
        <w:rPr>
          <w:rStyle w:val="cf01"/>
          <w:rFonts w:asciiTheme="minorHAnsi" w:hAnsiTheme="minorHAnsi" w:cstheme="minorHAnsi"/>
          <w:sz w:val="22"/>
          <w:szCs w:val="22"/>
        </w:rPr>
        <w:t xml:space="preserve"> </w:t>
      </w:r>
      <w:r w:rsidRPr="002F2A99">
        <w:rPr>
          <w:rStyle w:val="cf01"/>
          <w:rFonts w:asciiTheme="minorHAnsi" w:hAnsiTheme="minorHAnsi" w:cstheme="minorHAnsi"/>
          <w:sz w:val="22"/>
          <w:szCs w:val="22"/>
        </w:rPr>
        <w:t>an external audit</w:t>
      </w:r>
      <w:r w:rsidR="005E7A0B">
        <w:rPr>
          <w:rStyle w:val="cf01"/>
          <w:rFonts w:asciiTheme="minorHAnsi" w:hAnsiTheme="minorHAnsi" w:cstheme="minorHAnsi"/>
          <w:sz w:val="22"/>
          <w:szCs w:val="22"/>
        </w:rPr>
        <w:t xml:space="preserve"> no more than </w:t>
      </w:r>
      <w:r w:rsidRPr="002F2A99">
        <w:rPr>
          <w:rStyle w:val="cf01"/>
          <w:rFonts w:asciiTheme="minorHAnsi" w:hAnsiTheme="minorHAnsi" w:cstheme="minorHAnsi"/>
          <w:sz w:val="22"/>
          <w:szCs w:val="22"/>
        </w:rPr>
        <w:t xml:space="preserve">18 months prior to </w:t>
      </w:r>
      <w:r w:rsidR="005E7A0B">
        <w:rPr>
          <w:rStyle w:val="cf01"/>
          <w:rFonts w:asciiTheme="minorHAnsi" w:hAnsiTheme="minorHAnsi" w:cstheme="minorHAnsi"/>
          <w:sz w:val="22"/>
          <w:szCs w:val="22"/>
        </w:rPr>
        <w:t xml:space="preserve">applying to </w:t>
      </w:r>
      <w:r w:rsidRPr="002F2A99">
        <w:rPr>
          <w:rStyle w:val="cf01"/>
          <w:rFonts w:asciiTheme="minorHAnsi" w:hAnsiTheme="minorHAnsi" w:cstheme="minorHAnsi"/>
          <w:sz w:val="22"/>
          <w:szCs w:val="22"/>
        </w:rPr>
        <w:t>renew</w:t>
      </w:r>
      <w:r w:rsidR="005E7A0B" w:rsidRPr="002F2A99">
        <w:rPr>
          <w:rStyle w:val="cf01"/>
          <w:rFonts w:asciiTheme="minorHAnsi" w:hAnsiTheme="minorHAnsi" w:cstheme="minorHAnsi"/>
          <w:sz w:val="22"/>
          <w:szCs w:val="22"/>
        </w:rPr>
        <w:t xml:space="preserve"> their CRICOS registration</w:t>
      </w:r>
      <w:r w:rsidR="002A0B31">
        <w:rPr>
          <w:rStyle w:val="cf01"/>
          <w:rFonts w:asciiTheme="minorHAnsi" w:hAnsiTheme="minorHAnsi" w:cstheme="minorHAnsi"/>
          <w:sz w:val="22"/>
          <w:szCs w:val="22"/>
        </w:rPr>
        <w:t>.</w:t>
      </w:r>
      <w:r w:rsidR="00751551">
        <w:rPr>
          <w:rStyle w:val="cf01"/>
          <w:rFonts w:asciiTheme="minorHAnsi" w:hAnsiTheme="minorHAnsi" w:cstheme="minorHAnsi"/>
          <w:sz w:val="22"/>
          <w:szCs w:val="22"/>
        </w:rPr>
        <w:t xml:space="preserve"> </w:t>
      </w:r>
      <w:r w:rsidR="002A0B31">
        <w:rPr>
          <w:rStyle w:val="cf01"/>
          <w:rFonts w:asciiTheme="minorHAnsi" w:hAnsiTheme="minorHAnsi" w:cstheme="minorHAnsi"/>
          <w:sz w:val="22"/>
          <w:szCs w:val="22"/>
        </w:rPr>
        <w:t>The purpose of this guide is to support providers in meeting this requirement</w:t>
      </w:r>
      <w:r w:rsidR="00751551">
        <w:rPr>
          <w:rStyle w:val="cf01"/>
          <w:rFonts w:asciiTheme="minorHAnsi" w:hAnsiTheme="minorHAnsi" w:cstheme="minorHAnsi"/>
          <w:sz w:val="22"/>
          <w:szCs w:val="22"/>
        </w:rPr>
        <w:t>,</w:t>
      </w:r>
      <w:r w:rsidR="008A26BA">
        <w:rPr>
          <w:rStyle w:val="cf01"/>
          <w:rFonts w:asciiTheme="minorHAnsi" w:hAnsiTheme="minorHAnsi" w:cstheme="minorHAnsi"/>
          <w:sz w:val="22"/>
          <w:szCs w:val="22"/>
        </w:rPr>
        <w:t xml:space="preserve"> provide advice on best practice </w:t>
      </w:r>
      <w:r w:rsidR="0081494A">
        <w:rPr>
          <w:rStyle w:val="cf01"/>
          <w:rFonts w:asciiTheme="minorHAnsi" w:hAnsiTheme="minorHAnsi" w:cstheme="minorHAnsi"/>
          <w:sz w:val="22"/>
          <w:szCs w:val="22"/>
        </w:rPr>
        <w:t xml:space="preserve">for this </w:t>
      </w:r>
      <w:r w:rsidR="00751551">
        <w:rPr>
          <w:rStyle w:val="cf01"/>
          <w:rFonts w:asciiTheme="minorHAnsi" w:hAnsiTheme="minorHAnsi" w:cstheme="minorHAnsi"/>
          <w:sz w:val="22"/>
          <w:szCs w:val="22"/>
        </w:rPr>
        <w:t>process</w:t>
      </w:r>
      <w:r w:rsidR="00B200C3">
        <w:rPr>
          <w:rStyle w:val="cf01"/>
          <w:rFonts w:asciiTheme="minorHAnsi" w:hAnsiTheme="minorHAnsi" w:cstheme="minorHAnsi"/>
          <w:sz w:val="22"/>
          <w:szCs w:val="22"/>
        </w:rPr>
        <w:t>,</w:t>
      </w:r>
      <w:r w:rsidR="00751551">
        <w:rPr>
          <w:rStyle w:val="cf01"/>
          <w:rFonts w:asciiTheme="minorHAnsi" w:hAnsiTheme="minorHAnsi" w:cstheme="minorHAnsi"/>
          <w:sz w:val="22"/>
          <w:szCs w:val="22"/>
        </w:rPr>
        <w:t xml:space="preserve"> and highlight commons issues TEQSA has observed in this area</w:t>
      </w:r>
      <w:r w:rsidR="002A0B31">
        <w:rPr>
          <w:rStyle w:val="cf01"/>
          <w:rFonts w:asciiTheme="minorHAnsi" w:hAnsiTheme="minorHAnsi" w:cstheme="minorHAnsi"/>
          <w:sz w:val="22"/>
          <w:szCs w:val="22"/>
        </w:rPr>
        <w:t>.</w:t>
      </w:r>
    </w:p>
    <w:p w14:paraId="036219BC" w14:textId="63EC9716" w:rsidR="00A47C2B" w:rsidRPr="002F2A99" w:rsidRDefault="00B200C3" w:rsidP="00A47C2B">
      <w:pPr>
        <w:pStyle w:val="Heading2"/>
      </w:pPr>
      <w:r>
        <w:t>E</w:t>
      </w:r>
      <w:r w:rsidR="008A26BA">
        <w:t>xternal</w:t>
      </w:r>
      <w:r w:rsidR="008A26BA" w:rsidRPr="002F2A99">
        <w:t xml:space="preserve"> </w:t>
      </w:r>
      <w:r w:rsidR="00A47C2B" w:rsidRPr="002F2A99">
        <w:t>audit report</w:t>
      </w:r>
    </w:p>
    <w:p w14:paraId="795C1C85" w14:textId="0584F9D8" w:rsidR="008A26BA" w:rsidRPr="002F2A99" w:rsidRDefault="008A26BA" w:rsidP="00FA56D3">
      <w:r>
        <w:rPr>
          <w:rStyle w:val="cf01"/>
          <w:rFonts w:asciiTheme="minorHAnsi" w:hAnsiTheme="minorHAnsi" w:cstheme="minorHAnsi"/>
          <w:sz w:val="22"/>
          <w:szCs w:val="22"/>
        </w:rPr>
        <w:t>The results of the external audit should be outlined in a report (audit report) that includes the findings, conclusions, and recommendations of the auditors.</w:t>
      </w:r>
      <w:r w:rsidR="0081494A">
        <w:t xml:space="preserve"> The audit report </w:t>
      </w:r>
      <w:r w:rsidR="00AA26D6">
        <w:t>informs TEQSA’s assessment of the application for re-registration</w:t>
      </w:r>
      <w:r w:rsidR="0081494A">
        <w:t>.</w:t>
      </w:r>
    </w:p>
    <w:p w14:paraId="6581EE54" w14:textId="2AEF2EAF" w:rsidR="00A47C2B" w:rsidRPr="002F2A99" w:rsidRDefault="00B521FA" w:rsidP="00A47C2B">
      <w:r w:rsidRPr="002F2A99">
        <w:t xml:space="preserve">The report </w:t>
      </w:r>
      <w:r w:rsidR="00A47C2B" w:rsidRPr="002F2A99">
        <w:t>should:</w:t>
      </w:r>
    </w:p>
    <w:p w14:paraId="44A0ECB9" w14:textId="5BD5254F" w:rsidR="00A47C2B" w:rsidRPr="002F2A99" w:rsidRDefault="007A4EE1" w:rsidP="00914081">
      <w:pPr>
        <w:pStyle w:val="Bullet1"/>
      </w:pPr>
      <w:r w:rsidRPr="002F2A99">
        <w:t>o</w:t>
      </w:r>
      <w:r w:rsidR="00A47C2B" w:rsidRPr="002F2A99">
        <w:t>utline the scope of the audit</w:t>
      </w:r>
      <w:r w:rsidR="00C828DA" w:rsidRPr="002F2A99">
        <w:t xml:space="preserve">, </w:t>
      </w:r>
      <w:r w:rsidR="00722062" w:rsidRPr="002F2A99">
        <w:t>specifying</w:t>
      </w:r>
      <w:r w:rsidR="00C828DA" w:rsidRPr="002F2A99">
        <w:t xml:space="preserve"> what the audit will </w:t>
      </w:r>
      <w:r w:rsidR="00644E3E" w:rsidRPr="002F2A99">
        <w:t>include and exclude</w:t>
      </w:r>
    </w:p>
    <w:p w14:paraId="4480C208" w14:textId="42F3140F" w:rsidR="00A47C2B" w:rsidRPr="002F2A99" w:rsidRDefault="00A47C2B" w:rsidP="00914081">
      <w:pPr>
        <w:pStyle w:val="Bullet1"/>
      </w:pPr>
      <w:r w:rsidRPr="002F2A99">
        <w:t>outline the methodologies</w:t>
      </w:r>
      <w:r w:rsidR="002C2FAF" w:rsidRPr="002F2A99">
        <w:t xml:space="preserve"> of the audit</w:t>
      </w:r>
      <w:r w:rsidR="007B139F" w:rsidRPr="002F2A99">
        <w:t xml:space="preserve"> (</w:t>
      </w:r>
      <w:r w:rsidR="00B521FA" w:rsidRPr="002F2A99">
        <w:t xml:space="preserve">such as policies and </w:t>
      </w:r>
      <w:r w:rsidR="002F2A99">
        <w:t xml:space="preserve">internal </w:t>
      </w:r>
      <w:r w:rsidR="00B521FA" w:rsidRPr="002F2A99">
        <w:t xml:space="preserve">reviews, interviews of staff, </w:t>
      </w:r>
      <w:r w:rsidR="007B139F" w:rsidRPr="002F2A99">
        <w:t>verifying</w:t>
      </w:r>
      <w:r w:rsidR="00B521FA" w:rsidRPr="002F2A99">
        <w:t xml:space="preserve"> student files</w:t>
      </w:r>
      <w:r w:rsidR="007B139F" w:rsidRPr="002F2A99">
        <w:t>) and</w:t>
      </w:r>
      <w:r w:rsidR="00B521FA" w:rsidRPr="002F2A99">
        <w:t xml:space="preserve"> provid</w:t>
      </w:r>
      <w:r w:rsidR="007B139F" w:rsidRPr="002F2A99">
        <w:t>e</w:t>
      </w:r>
      <w:r w:rsidR="00C828DA" w:rsidRPr="002F2A99">
        <w:t xml:space="preserve"> </w:t>
      </w:r>
      <w:r w:rsidR="007B139F" w:rsidRPr="002F2A99">
        <w:t xml:space="preserve">a </w:t>
      </w:r>
      <w:r w:rsidRPr="002F2A99">
        <w:t xml:space="preserve">rationale </w:t>
      </w:r>
      <w:r w:rsidR="007B139F" w:rsidRPr="002F2A99">
        <w:t xml:space="preserve">explaining </w:t>
      </w:r>
      <w:r w:rsidR="00B521FA" w:rsidRPr="002F2A99">
        <w:t>why</w:t>
      </w:r>
      <w:r w:rsidRPr="002F2A99">
        <w:t xml:space="preserve"> the methodology is fit-for-purpose</w:t>
      </w:r>
    </w:p>
    <w:p w14:paraId="7D4042AB" w14:textId="7ABDB76F" w:rsidR="00C828DA" w:rsidRPr="002F2A99" w:rsidRDefault="00C828DA" w:rsidP="00914081">
      <w:pPr>
        <w:pStyle w:val="Bullet1"/>
      </w:pPr>
      <w:r w:rsidRPr="002F2A99">
        <w:t>identify the policies, procedures</w:t>
      </w:r>
      <w:r w:rsidR="00B3008E" w:rsidRPr="002F2A99">
        <w:t xml:space="preserve"> and</w:t>
      </w:r>
      <w:r w:rsidRPr="002F2A99">
        <w:t xml:space="preserve"> processes </w:t>
      </w:r>
      <w:r w:rsidR="00EE37DD" w:rsidRPr="002F2A99">
        <w:t xml:space="preserve">used </w:t>
      </w:r>
      <w:r w:rsidR="00644E3E" w:rsidRPr="002F2A99">
        <w:t xml:space="preserve">by the provider to </w:t>
      </w:r>
      <w:r w:rsidRPr="002F2A99">
        <w:t>manag</w:t>
      </w:r>
      <w:r w:rsidR="00644E3E" w:rsidRPr="002F2A99">
        <w:t>e</w:t>
      </w:r>
      <w:r w:rsidRPr="002F2A99">
        <w:t xml:space="preserve"> compliance with the </w:t>
      </w:r>
      <w:r w:rsidR="00054E15" w:rsidRPr="00566C7A">
        <w:rPr>
          <w:i/>
          <w:iCs/>
        </w:rPr>
        <w:t>Education Services for Overseas Students Act 2000</w:t>
      </w:r>
      <w:r w:rsidR="00054E15">
        <w:t xml:space="preserve"> (ESOS Act) </w:t>
      </w:r>
      <w:r w:rsidRPr="002F2A99">
        <w:t xml:space="preserve">and </w:t>
      </w:r>
      <w:r w:rsidR="002F2A99">
        <w:t>National Code</w:t>
      </w:r>
    </w:p>
    <w:p w14:paraId="1AA074C4" w14:textId="4FBC1B59" w:rsidR="00A47C2B" w:rsidRPr="002F2A99" w:rsidRDefault="00EE37DD" w:rsidP="00914081">
      <w:pPr>
        <w:pStyle w:val="Bullet1"/>
      </w:pPr>
      <w:r w:rsidRPr="002F2A99">
        <w:t>assess</w:t>
      </w:r>
      <w:r w:rsidR="00A47C2B" w:rsidRPr="002F2A99">
        <w:t xml:space="preserve"> the </w:t>
      </w:r>
      <w:r w:rsidR="00C828DA" w:rsidRPr="002F2A99">
        <w:t xml:space="preserve">provider’s </w:t>
      </w:r>
      <w:r w:rsidR="00B3008E" w:rsidRPr="002F2A99">
        <w:t xml:space="preserve">implementation </w:t>
      </w:r>
      <w:r w:rsidR="00A47C2B" w:rsidRPr="002F2A99">
        <w:t xml:space="preserve">of </w:t>
      </w:r>
      <w:r w:rsidR="00B3008E" w:rsidRPr="002F2A99">
        <w:t>its</w:t>
      </w:r>
      <w:r w:rsidR="006668F1" w:rsidRPr="002F2A99">
        <w:t xml:space="preserve"> </w:t>
      </w:r>
      <w:r w:rsidRPr="002F2A99">
        <w:t>policies, procedures</w:t>
      </w:r>
      <w:r w:rsidR="0081494A">
        <w:t>,</w:t>
      </w:r>
      <w:r w:rsidR="00B3008E" w:rsidRPr="002F2A99">
        <w:t xml:space="preserve"> and</w:t>
      </w:r>
      <w:r w:rsidRPr="002F2A99">
        <w:t xml:space="preserve"> processes </w:t>
      </w:r>
      <w:r w:rsidR="00B3008E" w:rsidRPr="002F2A99">
        <w:t>against the requirements of</w:t>
      </w:r>
      <w:r w:rsidR="00A47C2B" w:rsidRPr="002F2A99">
        <w:t xml:space="preserve"> the ESOS Act and </w:t>
      </w:r>
      <w:r w:rsidR="002F2A99">
        <w:t>National Code</w:t>
      </w:r>
    </w:p>
    <w:p w14:paraId="18AC3E19" w14:textId="1F79EFF8" w:rsidR="00A47C2B" w:rsidRPr="002F2A99" w:rsidRDefault="00B3008E" w:rsidP="00914081">
      <w:pPr>
        <w:pStyle w:val="Bullet1"/>
      </w:pPr>
      <w:r w:rsidRPr="002F2A99">
        <w:t xml:space="preserve">detail </w:t>
      </w:r>
      <w:r w:rsidR="00A47C2B" w:rsidRPr="002F2A99">
        <w:t>areas of non-compliance</w:t>
      </w:r>
      <w:r w:rsidR="006668F1" w:rsidRPr="002F2A99">
        <w:t xml:space="preserve">, </w:t>
      </w:r>
      <w:r w:rsidR="004E7E05" w:rsidRPr="002F2A99">
        <w:t>risk</w:t>
      </w:r>
      <w:r w:rsidRPr="002F2A99">
        <w:t>s</w:t>
      </w:r>
      <w:r w:rsidR="004E7E05" w:rsidRPr="002F2A99">
        <w:t xml:space="preserve"> of</w:t>
      </w:r>
      <w:r w:rsidRPr="002F2A99">
        <w:t xml:space="preserve"> non-compliance</w:t>
      </w:r>
      <w:r w:rsidR="004E7E05" w:rsidRPr="002F2A99">
        <w:t>,</w:t>
      </w:r>
      <w:r w:rsidR="00A47C2B" w:rsidRPr="002F2A99">
        <w:t xml:space="preserve"> and the risks</w:t>
      </w:r>
      <w:r w:rsidR="006668F1" w:rsidRPr="002F2A99">
        <w:t xml:space="preserve"> that arise from these areas of non-compliance</w:t>
      </w:r>
      <w:r w:rsidR="00C748C3" w:rsidRPr="002F2A99">
        <w:t>.</w:t>
      </w:r>
    </w:p>
    <w:p w14:paraId="2169B517" w14:textId="51CACBD7" w:rsidR="00D0777B" w:rsidRDefault="008A26BA" w:rsidP="00702DCA">
      <w:r>
        <w:t xml:space="preserve">When applying for renewal of CRICOS registration, providers should include </w:t>
      </w:r>
      <w:r w:rsidR="00702DCA" w:rsidRPr="002F2A99">
        <w:t>a</w:t>
      </w:r>
      <w:r w:rsidR="004A6997" w:rsidRPr="002F2A99">
        <w:t>n action plan</w:t>
      </w:r>
      <w:r w:rsidR="00702DCA" w:rsidRPr="002F2A99">
        <w:t xml:space="preserve">, detailing </w:t>
      </w:r>
      <w:r>
        <w:t xml:space="preserve">the </w:t>
      </w:r>
      <w:r w:rsidR="00702DCA" w:rsidRPr="002F2A99">
        <w:t>action</w:t>
      </w:r>
      <w:r w:rsidR="00873FCC" w:rsidRPr="002F2A99">
        <w:t>s</w:t>
      </w:r>
      <w:r>
        <w:t xml:space="preserve"> required</w:t>
      </w:r>
      <w:r w:rsidR="00702DCA" w:rsidRPr="002F2A99">
        <w:t xml:space="preserve"> </w:t>
      </w:r>
      <w:r w:rsidR="005521F7" w:rsidRPr="002F2A99">
        <w:t xml:space="preserve">to address </w:t>
      </w:r>
      <w:r w:rsidR="00873FCC" w:rsidRPr="002F2A99">
        <w:t>any</w:t>
      </w:r>
      <w:r w:rsidR="005521F7" w:rsidRPr="002F2A99">
        <w:t xml:space="preserve"> areas of non-compliance</w:t>
      </w:r>
      <w:r>
        <w:t xml:space="preserve"> identified by the</w:t>
      </w:r>
      <w:r w:rsidR="00050348">
        <w:t xml:space="preserve"> external</w:t>
      </w:r>
      <w:r>
        <w:t xml:space="preserve"> audit</w:t>
      </w:r>
      <w:r w:rsidR="00702DCA" w:rsidRPr="002F2A99">
        <w:t>, who is responsible</w:t>
      </w:r>
      <w:r w:rsidR="005521F7" w:rsidRPr="002F2A99">
        <w:t xml:space="preserve"> for these actions</w:t>
      </w:r>
      <w:r w:rsidR="00C748C3" w:rsidRPr="002F2A99">
        <w:t xml:space="preserve"> and when the</w:t>
      </w:r>
      <w:r w:rsidR="005521F7" w:rsidRPr="002F2A99">
        <w:t>y will</w:t>
      </w:r>
      <w:r w:rsidR="00C748C3" w:rsidRPr="002F2A99">
        <w:t xml:space="preserve"> be completed.</w:t>
      </w:r>
    </w:p>
    <w:p w14:paraId="1DA59F99" w14:textId="0E02AC04" w:rsidR="004A6997" w:rsidRDefault="00873FCC" w:rsidP="008A26BA">
      <w:r w:rsidRPr="002F2A99">
        <w:lastRenderedPageBreak/>
        <w:t xml:space="preserve">TEQSA </w:t>
      </w:r>
      <w:r w:rsidR="00FC098A">
        <w:t>recognises</w:t>
      </w:r>
      <w:r w:rsidR="000054A6">
        <w:t xml:space="preserve"> that </w:t>
      </w:r>
      <w:r w:rsidRPr="002F2A99">
        <w:t xml:space="preserve">providers </w:t>
      </w:r>
      <w:r w:rsidR="000054A6">
        <w:t xml:space="preserve">may not </w:t>
      </w:r>
      <w:r w:rsidR="00D0777B">
        <w:t xml:space="preserve">always </w:t>
      </w:r>
      <w:r w:rsidR="000054A6">
        <w:t xml:space="preserve">have </w:t>
      </w:r>
      <w:r w:rsidRPr="002F2A99">
        <w:t>complete</w:t>
      </w:r>
      <w:r w:rsidR="000054A6">
        <w:t>d</w:t>
      </w:r>
      <w:r w:rsidRPr="002F2A99">
        <w:t xml:space="preserve"> </w:t>
      </w:r>
      <w:r w:rsidR="00FC098A">
        <w:t>all elements of their</w:t>
      </w:r>
      <w:r w:rsidR="00FC098A" w:rsidRPr="002F2A99">
        <w:t xml:space="preserve"> </w:t>
      </w:r>
      <w:r w:rsidR="00C748C3" w:rsidRPr="002F2A99">
        <w:t xml:space="preserve">action plan </w:t>
      </w:r>
      <w:r w:rsidRPr="002F2A99">
        <w:t xml:space="preserve">prior to applying </w:t>
      </w:r>
      <w:r w:rsidR="00405A63">
        <w:t xml:space="preserve">to TEQSA </w:t>
      </w:r>
      <w:r w:rsidRPr="002F2A99">
        <w:t>for re</w:t>
      </w:r>
      <w:r w:rsidR="0081494A">
        <w:t>-</w:t>
      </w:r>
      <w:r w:rsidRPr="002F2A99">
        <w:t>registration</w:t>
      </w:r>
      <w:r w:rsidR="00FC098A">
        <w:t>. However, TEQSA</w:t>
      </w:r>
      <w:r w:rsidR="00792113">
        <w:t xml:space="preserve"> expect</w:t>
      </w:r>
      <w:r w:rsidR="00FC098A">
        <w:t>s</w:t>
      </w:r>
      <w:r w:rsidR="00792113">
        <w:t xml:space="preserve"> </w:t>
      </w:r>
      <w:r w:rsidR="00483D4F">
        <w:t>provider</w:t>
      </w:r>
      <w:r w:rsidR="00FC098A">
        <w:t>s</w:t>
      </w:r>
      <w:r w:rsidR="00483D4F">
        <w:t xml:space="preserve"> </w:t>
      </w:r>
      <w:r w:rsidR="0081494A">
        <w:t>to</w:t>
      </w:r>
      <w:r w:rsidR="00483D4F">
        <w:t xml:space="preserve"> submit </w:t>
      </w:r>
      <w:r w:rsidR="00C748C3" w:rsidRPr="002F2A99">
        <w:t>evidence of the</w:t>
      </w:r>
      <w:r w:rsidR="00405A63">
        <w:t>ir</w:t>
      </w:r>
      <w:r w:rsidR="00C748C3" w:rsidRPr="002F2A99">
        <w:t xml:space="preserve"> capacity, resources</w:t>
      </w:r>
      <w:r w:rsidR="00AE40CE" w:rsidRPr="002F2A99">
        <w:t>,</w:t>
      </w:r>
      <w:r w:rsidR="00C748C3" w:rsidRPr="002F2A99">
        <w:t xml:space="preserve"> and approach to implementing the action plan within a reasonable time frame.</w:t>
      </w:r>
    </w:p>
    <w:p w14:paraId="1FC35BAB" w14:textId="46BFE3C8" w:rsidR="008A26BA" w:rsidRPr="002F2A99" w:rsidRDefault="00FC098A" w:rsidP="008A26BA">
      <w:r>
        <w:t>T</w:t>
      </w:r>
      <w:r w:rsidR="008A26BA" w:rsidRPr="002F2A99">
        <w:t xml:space="preserve">he audit report also offers an opportunity for providers to gain a better understanding of their regulatory obligations and to improve their internal quality assurance processes. Furthermore, </w:t>
      </w:r>
      <w:r w:rsidR="008A26BA">
        <w:t xml:space="preserve">the audit report and the </w:t>
      </w:r>
      <w:r w:rsidR="008A26BA" w:rsidRPr="002F2A99">
        <w:t xml:space="preserve">provider’s response to the </w:t>
      </w:r>
      <w:r w:rsidR="008A26BA">
        <w:t xml:space="preserve">findings in the </w:t>
      </w:r>
      <w:r w:rsidR="008A26BA" w:rsidRPr="002F2A99">
        <w:t>report should enhance the quality of education and overall experience for overseas students</w:t>
      </w:r>
      <w:r w:rsidR="008A26BA">
        <w:t xml:space="preserve"> at that institution</w:t>
      </w:r>
      <w:r w:rsidR="008A26BA" w:rsidRPr="002F2A99">
        <w:t>.</w:t>
      </w:r>
    </w:p>
    <w:p w14:paraId="7F00B347" w14:textId="536E6613" w:rsidR="00E978A9" w:rsidRPr="002F2A99" w:rsidRDefault="00B200C3" w:rsidP="004A6997">
      <w:pPr>
        <w:pStyle w:val="Heading2"/>
      </w:pPr>
      <w:r>
        <w:t>Identified issues</w:t>
      </w:r>
    </w:p>
    <w:p w14:paraId="46A53820" w14:textId="39ED2F28" w:rsidR="00E04DB0" w:rsidRPr="002F2A99" w:rsidRDefault="00D0777B" w:rsidP="00E978A9">
      <w:pPr>
        <w:rPr>
          <w:rStyle w:val="cf01"/>
          <w:rFonts w:asciiTheme="minorHAnsi" w:hAnsiTheme="minorHAnsi" w:cstheme="minorHAnsi"/>
          <w:sz w:val="22"/>
          <w:szCs w:val="22"/>
        </w:rPr>
      </w:pPr>
      <w:r>
        <w:rPr>
          <w:rStyle w:val="cf01"/>
          <w:rFonts w:asciiTheme="minorHAnsi" w:hAnsiTheme="minorHAnsi" w:cstheme="minorHAnsi"/>
          <w:sz w:val="22"/>
          <w:szCs w:val="22"/>
        </w:rPr>
        <w:t>In the past</w:t>
      </w:r>
      <w:r w:rsidR="0095396C">
        <w:rPr>
          <w:rStyle w:val="cf01"/>
          <w:rFonts w:asciiTheme="minorHAnsi" w:hAnsiTheme="minorHAnsi" w:cstheme="minorHAnsi"/>
          <w:sz w:val="22"/>
          <w:szCs w:val="22"/>
        </w:rPr>
        <w:t>,</w:t>
      </w:r>
      <w:r>
        <w:rPr>
          <w:rStyle w:val="cf01"/>
          <w:rFonts w:asciiTheme="minorHAnsi" w:hAnsiTheme="minorHAnsi" w:cstheme="minorHAnsi"/>
          <w:sz w:val="22"/>
          <w:szCs w:val="22"/>
        </w:rPr>
        <w:t xml:space="preserve"> n</w:t>
      </w:r>
      <w:r w:rsidR="00C86D54" w:rsidRPr="002F2A99">
        <w:rPr>
          <w:rStyle w:val="cf01"/>
          <w:rFonts w:asciiTheme="minorHAnsi" w:hAnsiTheme="minorHAnsi" w:cstheme="minorHAnsi"/>
          <w:sz w:val="22"/>
          <w:szCs w:val="22"/>
        </w:rPr>
        <w:t xml:space="preserve">ot all audit reports </w:t>
      </w:r>
      <w:r>
        <w:rPr>
          <w:rStyle w:val="cf01"/>
          <w:rFonts w:asciiTheme="minorHAnsi" w:hAnsiTheme="minorHAnsi" w:cstheme="minorHAnsi"/>
          <w:sz w:val="22"/>
          <w:szCs w:val="22"/>
        </w:rPr>
        <w:t xml:space="preserve">submitted to </w:t>
      </w:r>
      <w:r w:rsidR="00C86D54" w:rsidRPr="002F2A99">
        <w:rPr>
          <w:rStyle w:val="cf01"/>
          <w:rFonts w:asciiTheme="minorHAnsi" w:hAnsiTheme="minorHAnsi" w:cstheme="minorHAnsi"/>
          <w:sz w:val="22"/>
          <w:szCs w:val="22"/>
        </w:rPr>
        <w:t xml:space="preserve">TEQSA </w:t>
      </w:r>
      <w:r>
        <w:rPr>
          <w:rStyle w:val="cf01"/>
          <w:rFonts w:asciiTheme="minorHAnsi" w:hAnsiTheme="minorHAnsi" w:cstheme="minorHAnsi"/>
          <w:sz w:val="22"/>
          <w:szCs w:val="22"/>
        </w:rPr>
        <w:t xml:space="preserve">have provided </w:t>
      </w:r>
      <w:r w:rsidR="00EE272B">
        <w:rPr>
          <w:rStyle w:val="cf01"/>
          <w:rFonts w:asciiTheme="minorHAnsi" w:hAnsiTheme="minorHAnsi" w:cstheme="minorHAnsi"/>
          <w:sz w:val="22"/>
          <w:szCs w:val="22"/>
        </w:rPr>
        <w:t xml:space="preserve">us with </w:t>
      </w:r>
      <w:r w:rsidR="00C86D54" w:rsidRPr="002F2A99">
        <w:rPr>
          <w:rStyle w:val="cf01"/>
          <w:rFonts w:asciiTheme="minorHAnsi" w:hAnsiTheme="minorHAnsi" w:cstheme="minorHAnsi"/>
          <w:sz w:val="22"/>
          <w:szCs w:val="22"/>
        </w:rPr>
        <w:t xml:space="preserve">sufficient clarity to determine whether a provider is compliant with </w:t>
      </w:r>
      <w:r w:rsidR="005376BB" w:rsidRPr="002F2A99">
        <w:rPr>
          <w:rStyle w:val="cf01"/>
          <w:rFonts w:asciiTheme="minorHAnsi" w:hAnsiTheme="minorHAnsi" w:cstheme="minorHAnsi"/>
          <w:sz w:val="22"/>
          <w:szCs w:val="22"/>
        </w:rPr>
        <w:t>the</w:t>
      </w:r>
      <w:r w:rsidR="00C86D54" w:rsidRPr="002F2A99">
        <w:rPr>
          <w:rStyle w:val="cf01"/>
          <w:rFonts w:asciiTheme="minorHAnsi" w:hAnsiTheme="minorHAnsi" w:cstheme="minorHAnsi"/>
          <w:sz w:val="22"/>
          <w:szCs w:val="22"/>
        </w:rPr>
        <w:t xml:space="preserve"> requirements of the </w:t>
      </w:r>
      <w:r w:rsidR="00951E9E" w:rsidRPr="002F2A99">
        <w:rPr>
          <w:rStyle w:val="cf01"/>
          <w:rFonts w:asciiTheme="minorHAnsi" w:hAnsiTheme="minorHAnsi" w:cstheme="minorHAnsi"/>
          <w:sz w:val="22"/>
          <w:szCs w:val="22"/>
        </w:rPr>
        <w:t>National Code</w:t>
      </w:r>
      <w:r w:rsidR="00C86D54" w:rsidRPr="002F2A99">
        <w:rPr>
          <w:rStyle w:val="cf01"/>
          <w:rFonts w:asciiTheme="minorHAnsi" w:hAnsiTheme="minorHAnsi" w:cstheme="minorHAnsi"/>
          <w:sz w:val="22"/>
          <w:szCs w:val="22"/>
        </w:rPr>
        <w:t>.</w:t>
      </w:r>
      <w:r w:rsidR="00417E6F" w:rsidRPr="002F2A99">
        <w:rPr>
          <w:rStyle w:val="cf01"/>
          <w:rFonts w:asciiTheme="minorHAnsi" w:hAnsiTheme="minorHAnsi" w:cstheme="minorHAnsi"/>
          <w:sz w:val="22"/>
          <w:szCs w:val="22"/>
        </w:rPr>
        <w:t xml:space="preserve"> </w:t>
      </w:r>
      <w:r w:rsidR="00F84081" w:rsidRPr="002F2A99">
        <w:rPr>
          <w:rStyle w:val="cf01"/>
          <w:rFonts w:asciiTheme="minorHAnsi" w:hAnsiTheme="minorHAnsi" w:cstheme="minorHAnsi"/>
          <w:sz w:val="22"/>
          <w:szCs w:val="22"/>
        </w:rPr>
        <w:t xml:space="preserve">This can result from deficiencies in the </w:t>
      </w:r>
      <w:r w:rsidR="00050348">
        <w:rPr>
          <w:rStyle w:val="cf01"/>
          <w:rFonts w:asciiTheme="minorHAnsi" w:hAnsiTheme="minorHAnsi" w:cstheme="minorHAnsi"/>
          <w:sz w:val="22"/>
          <w:szCs w:val="22"/>
        </w:rPr>
        <w:t xml:space="preserve">external </w:t>
      </w:r>
      <w:r w:rsidR="00F84081" w:rsidRPr="002F2A99">
        <w:rPr>
          <w:rStyle w:val="cf01"/>
          <w:rFonts w:asciiTheme="minorHAnsi" w:hAnsiTheme="minorHAnsi" w:cstheme="minorHAnsi"/>
          <w:sz w:val="22"/>
          <w:szCs w:val="22"/>
        </w:rPr>
        <w:t>audit process or the report itself where:</w:t>
      </w:r>
    </w:p>
    <w:p w14:paraId="629431B2" w14:textId="1DA2BB66" w:rsidR="00417E6F" w:rsidRPr="002F2A99" w:rsidRDefault="00417E6F" w:rsidP="00417E6F">
      <w:pPr>
        <w:pStyle w:val="Bullet1"/>
        <w:rPr>
          <w:rStyle w:val="cf01"/>
          <w:rFonts w:asciiTheme="minorHAnsi" w:hAnsiTheme="minorHAnsi" w:cstheme="minorHAnsi"/>
          <w:sz w:val="22"/>
          <w:szCs w:val="22"/>
        </w:rPr>
      </w:pPr>
      <w:r w:rsidRPr="002F2A99">
        <w:rPr>
          <w:rStyle w:val="cf01"/>
          <w:rFonts w:asciiTheme="minorHAnsi" w:hAnsiTheme="minorHAnsi" w:cstheme="minorHAnsi"/>
          <w:sz w:val="22"/>
          <w:szCs w:val="22"/>
        </w:rPr>
        <w:t xml:space="preserve">the scope of the </w:t>
      </w:r>
      <w:r w:rsidR="00050348">
        <w:rPr>
          <w:rStyle w:val="cf01"/>
          <w:rFonts w:asciiTheme="minorHAnsi" w:hAnsiTheme="minorHAnsi" w:cstheme="minorHAnsi"/>
          <w:sz w:val="22"/>
          <w:szCs w:val="22"/>
        </w:rPr>
        <w:t xml:space="preserve">external </w:t>
      </w:r>
      <w:r w:rsidRPr="002F2A99">
        <w:rPr>
          <w:rStyle w:val="cf01"/>
          <w:rFonts w:asciiTheme="minorHAnsi" w:hAnsiTheme="minorHAnsi" w:cstheme="minorHAnsi"/>
          <w:sz w:val="22"/>
          <w:szCs w:val="22"/>
        </w:rPr>
        <w:t xml:space="preserve">audit is not clearly outlined or is not sufficiently broad to demonstrate compliance with all requirements of the </w:t>
      </w:r>
      <w:r w:rsidR="00951E9E" w:rsidRPr="002F2A99">
        <w:rPr>
          <w:rStyle w:val="cf01"/>
          <w:rFonts w:asciiTheme="minorHAnsi" w:hAnsiTheme="minorHAnsi" w:cstheme="minorHAnsi"/>
          <w:sz w:val="22"/>
          <w:szCs w:val="22"/>
        </w:rPr>
        <w:t>National Code</w:t>
      </w:r>
    </w:p>
    <w:p w14:paraId="6A435E84" w14:textId="3EB6DA89" w:rsidR="00417E6F" w:rsidRPr="002F2A99" w:rsidRDefault="00417E6F" w:rsidP="00417E6F">
      <w:pPr>
        <w:pStyle w:val="Bullet1"/>
        <w:rPr>
          <w:rStyle w:val="cf01"/>
          <w:rFonts w:asciiTheme="minorHAnsi" w:hAnsiTheme="minorHAnsi" w:cstheme="minorHAnsi"/>
          <w:sz w:val="22"/>
          <w:szCs w:val="22"/>
        </w:rPr>
      </w:pPr>
      <w:r w:rsidRPr="002F2A99">
        <w:rPr>
          <w:rStyle w:val="cf01"/>
          <w:rFonts w:asciiTheme="minorHAnsi" w:hAnsiTheme="minorHAnsi" w:cstheme="minorHAnsi"/>
          <w:sz w:val="22"/>
          <w:szCs w:val="22"/>
        </w:rPr>
        <w:t>the methodology of the</w:t>
      </w:r>
      <w:r w:rsidR="00050348">
        <w:rPr>
          <w:rStyle w:val="cf01"/>
          <w:rFonts w:asciiTheme="minorHAnsi" w:hAnsiTheme="minorHAnsi" w:cstheme="minorHAnsi"/>
          <w:sz w:val="22"/>
          <w:szCs w:val="22"/>
        </w:rPr>
        <w:t xml:space="preserve"> external</w:t>
      </w:r>
      <w:r w:rsidRPr="002F2A99">
        <w:rPr>
          <w:rStyle w:val="cf01"/>
          <w:rFonts w:asciiTheme="minorHAnsi" w:hAnsiTheme="minorHAnsi" w:cstheme="minorHAnsi"/>
          <w:sz w:val="22"/>
          <w:szCs w:val="22"/>
        </w:rPr>
        <w:t xml:space="preserve"> audit is not clearly explained to show how findings were made</w:t>
      </w:r>
    </w:p>
    <w:p w14:paraId="3FF22B7E" w14:textId="74E5E1EF" w:rsidR="00264E96" w:rsidRPr="002F2A99" w:rsidRDefault="004B2FA9" w:rsidP="00E04DB0">
      <w:pPr>
        <w:pStyle w:val="Bullet1"/>
        <w:rPr>
          <w:rStyle w:val="cf01"/>
          <w:rFonts w:asciiTheme="minorHAnsi" w:hAnsiTheme="minorHAnsi" w:cstheme="minorHAnsi"/>
          <w:sz w:val="22"/>
          <w:szCs w:val="22"/>
        </w:rPr>
      </w:pPr>
      <w:r w:rsidRPr="002F2A99">
        <w:rPr>
          <w:rStyle w:val="cf01"/>
          <w:rFonts w:asciiTheme="minorHAnsi" w:hAnsiTheme="minorHAnsi" w:cstheme="minorHAnsi"/>
          <w:sz w:val="22"/>
          <w:szCs w:val="22"/>
        </w:rPr>
        <w:t>f</w:t>
      </w:r>
      <w:r w:rsidR="00264E96" w:rsidRPr="002F2A99">
        <w:rPr>
          <w:rStyle w:val="cf01"/>
          <w:rFonts w:asciiTheme="minorHAnsi" w:hAnsiTheme="minorHAnsi" w:cstheme="minorHAnsi"/>
          <w:sz w:val="22"/>
          <w:szCs w:val="22"/>
        </w:rPr>
        <w:t>indings of compliance are made without reference to evidence</w:t>
      </w:r>
    </w:p>
    <w:p w14:paraId="5ED963D6" w14:textId="77777777" w:rsidR="00470E01" w:rsidRPr="002F2A99" w:rsidRDefault="00470E01" w:rsidP="00470E01">
      <w:pPr>
        <w:pStyle w:val="Bullet1"/>
        <w:rPr>
          <w:rStyle w:val="cf01"/>
          <w:rFonts w:asciiTheme="minorHAnsi" w:hAnsiTheme="minorHAnsi" w:cstheme="minorHAnsi"/>
          <w:sz w:val="22"/>
          <w:szCs w:val="22"/>
        </w:rPr>
      </w:pPr>
      <w:r w:rsidRPr="002F2A99">
        <w:rPr>
          <w:rStyle w:val="cf01"/>
          <w:rFonts w:asciiTheme="minorHAnsi" w:hAnsiTheme="minorHAnsi" w:cstheme="minorHAnsi"/>
          <w:sz w:val="22"/>
          <w:szCs w:val="22"/>
        </w:rPr>
        <w:t>findings of compliance are made without explaining how the evidence demonstrates compliance</w:t>
      </w:r>
    </w:p>
    <w:p w14:paraId="196560C9" w14:textId="788129B5" w:rsidR="00264E96" w:rsidRPr="002F2A99" w:rsidRDefault="004B2FA9" w:rsidP="00E04DB0">
      <w:pPr>
        <w:pStyle w:val="Bullet1"/>
        <w:rPr>
          <w:rStyle w:val="cf01"/>
          <w:rFonts w:asciiTheme="minorHAnsi" w:hAnsiTheme="minorHAnsi" w:cstheme="minorHAnsi"/>
          <w:sz w:val="22"/>
          <w:szCs w:val="22"/>
        </w:rPr>
      </w:pPr>
      <w:r w:rsidRPr="002F2A99">
        <w:rPr>
          <w:rStyle w:val="cf01"/>
          <w:rFonts w:asciiTheme="minorHAnsi" w:hAnsiTheme="minorHAnsi" w:cstheme="minorHAnsi"/>
          <w:sz w:val="22"/>
          <w:szCs w:val="22"/>
        </w:rPr>
        <w:t>f</w:t>
      </w:r>
      <w:r w:rsidR="00264E96" w:rsidRPr="002F2A99">
        <w:rPr>
          <w:rStyle w:val="cf01"/>
          <w:rFonts w:asciiTheme="minorHAnsi" w:hAnsiTheme="minorHAnsi" w:cstheme="minorHAnsi"/>
          <w:sz w:val="22"/>
          <w:szCs w:val="22"/>
        </w:rPr>
        <w:t xml:space="preserve">indings of compliance are made on the basis that a policy or procedure exists, without assessing whether it </w:t>
      </w:r>
      <w:r w:rsidRPr="002F2A99">
        <w:rPr>
          <w:rStyle w:val="cf01"/>
          <w:rFonts w:asciiTheme="minorHAnsi" w:hAnsiTheme="minorHAnsi" w:cstheme="minorHAnsi"/>
          <w:sz w:val="22"/>
          <w:szCs w:val="22"/>
        </w:rPr>
        <w:t>is fit</w:t>
      </w:r>
      <w:r w:rsidR="00722F81">
        <w:rPr>
          <w:rStyle w:val="cf01"/>
          <w:rFonts w:asciiTheme="minorHAnsi" w:hAnsiTheme="minorHAnsi" w:cstheme="minorHAnsi"/>
          <w:sz w:val="22"/>
          <w:szCs w:val="22"/>
        </w:rPr>
        <w:t>-</w:t>
      </w:r>
      <w:r w:rsidRPr="002F2A99">
        <w:rPr>
          <w:rStyle w:val="cf01"/>
          <w:rFonts w:asciiTheme="minorHAnsi" w:hAnsiTheme="minorHAnsi" w:cstheme="minorHAnsi"/>
          <w:sz w:val="22"/>
          <w:szCs w:val="22"/>
        </w:rPr>
        <w:t>for</w:t>
      </w:r>
      <w:r w:rsidR="00722F81">
        <w:rPr>
          <w:rStyle w:val="cf01"/>
          <w:rFonts w:asciiTheme="minorHAnsi" w:hAnsiTheme="minorHAnsi" w:cstheme="minorHAnsi"/>
          <w:sz w:val="22"/>
          <w:szCs w:val="22"/>
        </w:rPr>
        <w:t>-</w:t>
      </w:r>
      <w:r w:rsidRPr="002F2A99">
        <w:rPr>
          <w:rStyle w:val="cf01"/>
          <w:rFonts w:asciiTheme="minorHAnsi" w:hAnsiTheme="minorHAnsi" w:cstheme="minorHAnsi"/>
          <w:sz w:val="22"/>
          <w:szCs w:val="22"/>
        </w:rPr>
        <w:t xml:space="preserve">purpose and </w:t>
      </w:r>
      <w:r w:rsidR="00264E96" w:rsidRPr="002F2A99">
        <w:rPr>
          <w:rStyle w:val="cf01"/>
          <w:rFonts w:asciiTheme="minorHAnsi" w:hAnsiTheme="minorHAnsi" w:cstheme="minorHAnsi"/>
          <w:sz w:val="22"/>
          <w:szCs w:val="22"/>
        </w:rPr>
        <w:t xml:space="preserve">meets </w:t>
      </w:r>
      <w:r w:rsidRPr="002F2A99">
        <w:rPr>
          <w:rStyle w:val="cf01"/>
          <w:rFonts w:asciiTheme="minorHAnsi" w:hAnsiTheme="minorHAnsi" w:cstheme="minorHAnsi"/>
          <w:sz w:val="22"/>
          <w:szCs w:val="22"/>
        </w:rPr>
        <w:t>the requirements of</w:t>
      </w:r>
      <w:r w:rsidR="00264E96" w:rsidRPr="002F2A99">
        <w:rPr>
          <w:rStyle w:val="cf01"/>
          <w:rFonts w:asciiTheme="minorHAnsi" w:hAnsiTheme="minorHAnsi" w:cstheme="minorHAnsi"/>
          <w:sz w:val="22"/>
          <w:szCs w:val="22"/>
        </w:rPr>
        <w:t xml:space="preserve"> </w:t>
      </w:r>
      <w:r w:rsidRPr="002F2A99">
        <w:rPr>
          <w:rStyle w:val="cf01"/>
          <w:rFonts w:asciiTheme="minorHAnsi" w:hAnsiTheme="minorHAnsi" w:cstheme="minorHAnsi"/>
          <w:sz w:val="22"/>
          <w:szCs w:val="22"/>
        </w:rPr>
        <w:t>all applicable</w:t>
      </w:r>
      <w:r w:rsidR="00264E96" w:rsidRPr="002F2A99">
        <w:rPr>
          <w:rStyle w:val="cf01"/>
          <w:rFonts w:asciiTheme="minorHAnsi" w:hAnsiTheme="minorHAnsi" w:cstheme="minorHAnsi"/>
          <w:sz w:val="22"/>
          <w:szCs w:val="22"/>
        </w:rPr>
        <w:t xml:space="preserve"> </w:t>
      </w:r>
      <w:r w:rsidR="00736090">
        <w:rPr>
          <w:rStyle w:val="cf01"/>
          <w:rFonts w:asciiTheme="minorHAnsi" w:hAnsiTheme="minorHAnsi" w:cstheme="minorHAnsi"/>
          <w:sz w:val="22"/>
          <w:szCs w:val="22"/>
        </w:rPr>
        <w:t>National Code S</w:t>
      </w:r>
      <w:r w:rsidR="00264E96" w:rsidRPr="002F2A99">
        <w:rPr>
          <w:rStyle w:val="cf01"/>
          <w:rFonts w:asciiTheme="minorHAnsi" w:hAnsiTheme="minorHAnsi" w:cstheme="minorHAnsi"/>
          <w:sz w:val="22"/>
          <w:szCs w:val="22"/>
        </w:rPr>
        <w:t>tandards</w:t>
      </w:r>
    </w:p>
    <w:p w14:paraId="1D376D21" w14:textId="453C5B7D" w:rsidR="006D4FAA" w:rsidRPr="002F2A99" w:rsidRDefault="004B2FA9" w:rsidP="00E04DB0">
      <w:pPr>
        <w:pStyle w:val="Bullet1"/>
        <w:rPr>
          <w:rStyle w:val="cf01"/>
          <w:rFonts w:asciiTheme="minorHAnsi" w:hAnsiTheme="minorHAnsi" w:cstheme="minorHAnsi"/>
          <w:sz w:val="22"/>
          <w:szCs w:val="22"/>
        </w:rPr>
      </w:pPr>
      <w:r w:rsidRPr="002F2A99">
        <w:rPr>
          <w:rStyle w:val="cf01"/>
          <w:rFonts w:asciiTheme="minorHAnsi" w:hAnsiTheme="minorHAnsi" w:cstheme="minorHAnsi"/>
          <w:sz w:val="22"/>
          <w:szCs w:val="22"/>
        </w:rPr>
        <w:t>r</w:t>
      </w:r>
      <w:r w:rsidR="006D4FAA" w:rsidRPr="002F2A99">
        <w:rPr>
          <w:rStyle w:val="cf01"/>
          <w:rFonts w:asciiTheme="minorHAnsi" w:hAnsiTheme="minorHAnsi" w:cstheme="minorHAnsi"/>
          <w:sz w:val="22"/>
          <w:szCs w:val="22"/>
        </w:rPr>
        <w:t>esponsibilit</w:t>
      </w:r>
      <w:r w:rsidRPr="002F2A99">
        <w:rPr>
          <w:rStyle w:val="cf01"/>
          <w:rFonts w:asciiTheme="minorHAnsi" w:hAnsiTheme="minorHAnsi" w:cstheme="minorHAnsi"/>
          <w:sz w:val="22"/>
          <w:szCs w:val="22"/>
        </w:rPr>
        <w:t>ies</w:t>
      </w:r>
      <w:r w:rsidR="006D4FAA" w:rsidRPr="002F2A99">
        <w:rPr>
          <w:rStyle w:val="cf01"/>
          <w:rFonts w:asciiTheme="minorHAnsi" w:hAnsiTheme="minorHAnsi" w:cstheme="minorHAnsi"/>
          <w:sz w:val="22"/>
          <w:szCs w:val="22"/>
        </w:rPr>
        <w:t xml:space="preserve"> for key </w:t>
      </w:r>
      <w:r w:rsidR="00417E6F" w:rsidRPr="002F2A99">
        <w:rPr>
          <w:rStyle w:val="cf01"/>
          <w:rFonts w:asciiTheme="minorHAnsi" w:hAnsiTheme="minorHAnsi" w:cstheme="minorHAnsi"/>
          <w:sz w:val="22"/>
          <w:szCs w:val="22"/>
        </w:rPr>
        <w:t xml:space="preserve">remedial </w:t>
      </w:r>
      <w:r w:rsidR="006D4FAA" w:rsidRPr="002F2A99">
        <w:rPr>
          <w:rStyle w:val="cf01"/>
          <w:rFonts w:asciiTheme="minorHAnsi" w:hAnsiTheme="minorHAnsi" w:cstheme="minorHAnsi"/>
          <w:sz w:val="22"/>
          <w:szCs w:val="22"/>
        </w:rPr>
        <w:t xml:space="preserve">actions </w:t>
      </w:r>
      <w:r w:rsidRPr="002F2A99">
        <w:rPr>
          <w:rStyle w:val="cf01"/>
          <w:rFonts w:asciiTheme="minorHAnsi" w:hAnsiTheme="minorHAnsi" w:cstheme="minorHAnsi"/>
          <w:sz w:val="22"/>
          <w:szCs w:val="22"/>
        </w:rPr>
        <w:t>are</w:t>
      </w:r>
      <w:r w:rsidR="006D4FAA" w:rsidRPr="002F2A99">
        <w:rPr>
          <w:rStyle w:val="cf01"/>
          <w:rFonts w:asciiTheme="minorHAnsi" w:hAnsiTheme="minorHAnsi" w:cstheme="minorHAnsi"/>
          <w:sz w:val="22"/>
          <w:szCs w:val="22"/>
        </w:rPr>
        <w:t xml:space="preserve"> not clearly specified.</w:t>
      </w:r>
    </w:p>
    <w:p w14:paraId="7F751196" w14:textId="4E24C579" w:rsidR="00594DC9" w:rsidRPr="002F2A99" w:rsidRDefault="00D64821" w:rsidP="00594DC9">
      <w:r w:rsidRPr="002F2A99">
        <w:rPr>
          <w:rStyle w:val="cf01"/>
          <w:rFonts w:asciiTheme="minorHAnsi" w:hAnsiTheme="minorHAnsi" w:cstheme="minorHAnsi"/>
          <w:sz w:val="22"/>
          <w:szCs w:val="22"/>
        </w:rPr>
        <w:t xml:space="preserve">An audit report with one or more of these issues may result in TEQSA </w:t>
      </w:r>
      <w:r w:rsidR="00A74B5D">
        <w:rPr>
          <w:rStyle w:val="cf01"/>
          <w:rFonts w:asciiTheme="minorHAnsi" w:hAnsiTheme="minorHAnsi" w:cstheme="minorHAnsi"/>
          <w:sz w:val="22"/>
          <w:szCs w:val="22"/>
        </w:rPr>
        <w:t>being</w:t>
      </w:r>
      <w:r w:rsidR="00377FD2">
        <w:rPr>
          <w:rStyle w:val="cf01"/>
          <w:rFonts w:asciiTheme="minorHAnsi" w:hAnsiTheme="minorHAnsi" w:cstheme="minorHAnsi"/>
          <w:sz w:val="22"/>
          <w:szCs w:val="22"/>
        </w:rPr>
        <w:t xml:space="preserve"> unable to be satisfied that </w:t>
      </w:r>
      <w:r w:rsidR="0081494A">
        <w:rPr>
          <w:rStyle w:val="cf01"/>
          <w:rFonts w:asciiTheme="minorHAnsi" w:hAnsiTheme="minorHAnsi" w:cstheme="minorHAnsi"/>
          <w:sz w:val="22"/>
          <w:szCs w:val="22"/>
        </w:rPr>
        <w:t xml:space="preserve">all </w:t>
      </w:r>
      <w:r w:rsidR="00377FD2">
        <w:rPr>
          <w:rStyle w:val="cf01"/>
          <w:rFonts w:asciiTheme="minorHAnsi" w:hAnsiTheme="minorHAnsi" w:cstheme="minorHAnsi"/>
          <w:sz w:val="22"/>
          <w:szCs w:val="22"/>
        </w:rPr>
        <w:t xml:space="preserve">standards </w:t>
      </w:r>
      <w:r w:rsidR="00B644A7">
        <w:rPr>
          <w:rStyle w:val="cf01"/>
          <w:rFonts w:asciiTheme="minorHAnsi" w:hAnsiTheme="minorHAnsi" w:cstheme="minorHAnsi"/>
          <w:sz w:val="22"/>
          <w:szCs w:val="22"/>
        </w:rPr>
        <w:t>have been</w:t>
      </w:r>
      <w:r w:rsidR="00377FD2">
        <w:rPr>
          <w:rStyle w:val="cf01"/>
          <w:rFonts w:asciiTheme="minorHAnsi" w:hAnsiTheme="minorHAnsi" w:cstheme="minorHAnsi"/>
          <w:sz w:val="22"/>
          <w:szCs w:val="22"/>
        </w:rPr>
        <w:t xml:space="preserve"> met</w:t>
      </w:r>
      <w:r w:rsidR="00141D08">
        <w:rPr>
          <w:rStyle w:val="cf01"/>
          <w:rFonts w:asciiTheme="minorHAnsi" w:hAnsiTheme="minorHAnsi" w:cstheme="minorHAnsi"/>
          <w:sz w:val="22"/>
          <w:szCs w:val="22"/>
        </w:rPr>
        <w:t xml:space="preserve">. In these circumstances TEQSA will </w:t>
      </w:r>
      <w:r w:rsidRPr="002F2A99">
        <w:rPr>
          <w:rStyle w:val="cf01"/>
          <w:rFonts w:asciiTheme="minorHAnsi" w:hAnsiTheme="minorHAnsi" w:cstheme="minorHAnsi"/>
          <w:sz w:val="22"/>
          <w:szCs w:val="22"/>
        </w:rPr>
        <w:t xml:space="preserve">request further evidence </w:t>
      </w:r>
      <w:r w:rsidR="00377FD2">
        <w:rPr>
          <w:rStyle w:val="cf01"/>
          <w:rFonts w:asciiTheme="minorHAnsi" w:hAnsiTheme="minorHAnsi" w:cstheme="minorHAnsi"/>
          <w:sz w:val="22"/>
          <w:szCs w:val="22"/>
        </w:rPr>
        <w:t>from the provider</w:t>
      </w:r>
      <w:r w:rsidRPr="002F2A99">
        <w:rPr>
          <w:rStyle w:val="cf01"/>
          <w:rFonts w:asciiTheme="minorHAnsi" w:hAnsiTheme="minorHAnsi" w:cstheme="minorHAnsi"/>
          <w:sz w:val="22"/>
          <w:szCs w:val="22"/>
        </w:rPr>
        <w:t>.</w:t>
      </w:r>
    </w:p>
    <w:p w14:paraId="609DD98C" w14:textId="5DCEF742" w:rsidR="00A47C2B" w:rsidRPr="002F2A99" w:rsidRDefault="00A47C2B" w:rsidP="004A6997">
      <w:pPr>
        <w:pStyle w:val="Heading2"/>
      </w:pPr>
      <w:r w:rsidRPr="002F2A99">
        <w:t xml:space="preserve">What TEQSA </w:t>
      </w:r>
      <w:r w:rsidR="00A37AD6" w:rsidRPr="002F2A99">
        <w:t xml:space="preserve">will </w:t>
      </w:r>
      <w:r w:rsidRPr="002F2A99">
        <w:t>look for</w:t>
      </w:r>
    </w:p>
    <w:p w14:paraId="4A6B5BBE" w14:textId="7A6E4408" w:rsidR="00E05F55" w:rsidRPr="002F2A99" w:rsidRDefault="00311FA9" w:rsidP="00EE272B">
      <w:r w:rsidRPr="002F2A99">
        <w:t>TEQSA</w:t>
      </w:r>
      <w:r w:rsidR="00EE272B">
        <w:t xml:space="preserve">’s ability to efficiently </w:t>
      </w:r>
      <w:r w:rsidR="0022605D">
        <w:t>assess</w:t>
      </w:r>
      <w:r w:rsidR="00EE272B">
        <w:t xml:space="preserve"> </w:t>
      </w:r>
      <w:r w:rsidR="0022605D">
        <w:t xml:space="preserve">a </w:t>
      </w:r>
      <w:r w:rsidR="001B650E" w:rsidRPr="002F2A99">
        <w:t>provider’s application for renewal of CRICOS registration</w:t>
      </w:r>
      <w:r w:rsidR="0022605D">
        <w:t xml:space="preserve"> is </w:t>
      </w:r>
      <w:r w:rsidR="00EE272B">
        <w:t xml:space="preserve">greatly assisted by a </w:t>
      </w:r>
      <w:r w:rsidR="0095396C">
        <w:t>high-quality</w:t>
      </w:r>
      <w:r w:rsidR="0022605D">
        <w:t xml:space="preserve"> audit report</w:t>
      </w:r>
      <w:r w:rsidR="001B650E" w:rsidRPr="002F2A99">
        <w:t>.</w:t>
      </w:r>
      <w:r w:rsidR="0081494A">
        <w:t xml:space="preserve"> </w:t>
      </w:r>
      <w:r w:rsidR="005E51F7">
        <w:t>A</w:t>
      </w:r>
      <w:r w:rsidR="00EE272B">
        <w:t xml:space="preserve"> high-quality report</w:t>
      </w:r>
      <w:r w:rsidR="005E51F7">
        <w:t xml:space="preserve"> will include the following key information</w:t>
      </w:r>
      <w:r w:rsidR="00E05F55" w:rsidRPr="002F2A99">
        <w:t>:</w:t>
      </w:r>
    </w:p>
    <w:p w14:paraId="03A3EE18" w14:textId="5D46614E" w:rsidR="00E05F55" w:rsidRPr="002F2A99" w:rsidRDefault="00E05F55" w:rsidP="00914081">
      <w:pPr>
        <w:pStyle w:val="Bullet1"/>
      </w:pPr>
      <w:r w:rsidRPr="002F2A99">
        <w:t>the polic</w:t>
      </w:r>
      <w:r w:rsidR="00470E01" w:rsidRPr="002F2A99">
        <w:t>ies</w:t>
      </w:r>
      <w:r w:rsidRPr="002F2A99">
        <w:t>, procedures, processes and supporting documentation that the auditor ha</w:t>
      </w:r>
      <w:r w:rsidR="00470E01" w:rsidRPr="002F2A99">
        <w:t>s</w:t>
      </w:r>
      <w:r w:rsidRPr="002F2A99">
        <w:t xml:space="preserve"> considered</w:t>
      </w:r>
    </w:p>
    <w:p w14:paraId="5F6D4656" w14:textId="4736F2F6" w:rsidR="00E05F55" w:rsidRPr="002F2A99" w:rsidRDefault="00E05F55" w:rsidP="00914081">
      <w:pPr>
        <w:pStyle w:val="Bullet1"/>
      </w:pPr>
      <w:r w:rsidRPr="002F2A99">
        <w:t xml:space="preserve">the basis </w:t>
      </w:r>
      <w:r w:rsidR="00214F2C" w:rsidRPr="002F2A99">
        <w:t>for</w:t>
      </w:r>
      <w:r w:rsidRPr="002F2A99">
        <w:t xml:space="preserve"> which </w:t>
      </w:r>
      <w:r w:rsidR="00214F2C" w:rsidRPr="002F2A99">
        <w:t xml:space="preserve">the </w:t>
      </w:r>
      <w:r w:rsidRPr="002F2A99">
        <w:t>policies, procedures, processes and supporting documentation were selected</w:t>
      </w:r>
      <w:r w:rsidR="00450A9C" w:rsidRPr="002F2A99">
        <w:t xml:space="preserve"> as </w:t>
      </w:r>
      <w:r w:rsidRPr="002F2A99">
        <w:t xml:space="preserve">representative of the state of compliance with </w:t>
      </w:r>
      <w:r w:rsidR="00450A9C" w:rsidRPr="002F2A99">
        <w:t>each S</w:t>
      </w:r>
      <w:r w:rsidRPr="002F2A99">
        <w:t>tandard</w:t>
      </w:r>
    </w:p>
    <w:p w14:paraId="22AFC13A" w14:textId="4787FC5F" w:rsidR="00A47C2B" w:rsidRPr="002F2A99" w:rsidRDefault="00214F2C" w:rsidP="00914081">
      <w:pPr>
        <w:pStyle w:val="Bullet1"/>
      </w:pPr>
      <w:r w:rsidRPr="002F2A99">
        <w:t>the</w:t>
      </w:r>
      <w:r w:rsidR="00E05F55" w:rsidRPr="002F2A99">
        <w:t xml:space="preserve"> type</w:t>
      </w:r>
      <w:r w:rsidRPr="002F2A99">
        <w:t>s</w:t>
      </w:r>
      <w:r w:rsidR="00E05F55" w:rsidRPr="002F2A99">
        <w:t xml:space="preserve"> of evidence</w:t>
      </w:r>
      <w:r w:rsidR="009D2A77" w:rsidRPr="002F2A99">
        <w:t>, including samples, assessed</w:t>
      </w:r>
    </w:p>
    <w:p w14:paraId="39E666B4" w14:textId="0E2A0F73" w:rsidR="00E05F55" w:rsidRPr="002F2A99" w:rsidRDefault="00E05F55" w:rsidP="00914081">
      <w:pPr>
        <w:pStyle w:val="Bullet1"/>
      </w:pPr>
      <w:r w:rsidRPr="002F2A99">
        <w:lastRenderedPageBreak/>
        <w:t xml:space="preserve">the findings </w:t>
      </w:r>
      <w:r w:rsidR="009D2A77" w:rsidRPr="002F2A99">
        <w:t xml:space="preserve">of non-compliance or risks of non-compliance </w:t>
      </w:r>
      <w:r w:rsidRPr="002F2A99">
        <w:t xml:space="preserve">and how </w:t>
      </w:r>
      <w:r w:rsidR="00C029E7" w:rsidRPr="002F2A99">
        <w:t>the</w:t>
      </w:r>
      <w:r w:rsidR="009D2A77" w:rsidRPr="002F2A99">
        <w:t xml:space="preserve"> provider’s</w:t>
      </w:r>
      <w:r w:rsidR="00C029E7" w:rsidRPr="002F2A99">
        <w:t xml:space="preserve"> action plan will </w:t>
      </w:r>
      <w:r w:rsidRPr="002F2A99">
        <w:t>fully address the</w:t>
      </w:r>
      <w:r w:rsidR="009D2A77" w:rsidRPr="002F2A99">
        <w:t>se risks.</w:t>
      </w:r>
    </w:p>
    <w:p w14:paraId="0E49CA06" w14:textId="60E96A3C" w:rsidR="00EE272B" w:rsidRPr="002F2A99" w:rsidRDefault="00311FA9" w:rsidP="000B2ADF">
      <w:r w:rsidRPr="002F2A99">
        <w:t xml:space="preserve">When reviewing an audit report, </w:t>
      </w:r>
      <w:r w:rsidR="000B2ADF" w:rsidRPr="002F2A99">
        <w:t>TEQSA assess</w:t>
      </w:r>
      <w:r w:rsidR="00450A9C" w:rsidRPr="002F2A99">
        <w:t>es</w:t>
      </w:r>
      <w:r w:rsidR="000B2ADF" w:rsidRPr="002F2A99">
        <w:t xml:space="preserve"> </w:t>
      </w:r>
      <w:r w:rsidRPr="002F2A99">
        <w:t xml:space="preserve">the provider’s </w:t>
      </w:r>
      <w:r w:rsidR="000B2ADF" w:rsidRPr="002F2A99">
        <w:t xml:space="preserve">compliance with </w:t>
      </w:r>
      <w:r w:rsidR="00450A9C" w:rsidRPr="002F2A99">
        <w:t xml:space="preserve">each of </w:t>
      </w:r>
      <w:r w:rsidR="000B2ADF" w:rsidRPr="002F2A99">
        <w:t xml:space="preserve">the 11 Standards of the </w:t>
      </w:r>
      <w:r w:rsidR="00951E9E" w:rsidRPr="002F2A99">
        <w:t>National Code</w:t>
      </w:r>
      <w:r w:rsidR="000B2ADF" w:rsidRPr="002F2A99">
        <w:t xml:space="preserve">. </w:t>
      </w:r>
      <w:r w:rsidRPr="002F2A99">
        <w:t xml:space="preserve">The table </w:t>
      </w:r>
      <w:r w:rsidR="0022605D">
        <w:t xml:space="preserve">at </w:t>
      </w:r>
      <w:r w:rsidR="005601EB">
        <w:t>F</w:t>
      </w:r>
      <w:r w:rsidR="0022605D">
        <w:t>igure 1</w:t>
      </w:r>
      <w:r w:rsidRPr="002F2A99">
        <w:t xml:space="preserve"> outlines</w:t>
      </w:r>
      <w:r w:rsidR="00B644A7">
        <w:t>,</w:t>
      </w:r>
      <w:r w:rsidRPr="002F2A99">
        <w:t xml:space="preserve"> </w:t>
      </w:r>
      <w:r w:rsidR="005601EB">
        <w:t>for each of the Standards</w:t>
      </w:r>
      <w:r w:rsidR="00B644A7">
        <w:t>,</w:t>
      </w:r>
      <w:r w:rsidR="005601EB">
        <w:t xml:space="preserve"> the</w:t>
      </w:r>
      <w:r w:rsidRPr="002F2A99">
        <w:t xml:space="preserve"> key considerations and evidence </w:t>
      </w:r>
      <w:r w:rsidR="005601EB">
        <w:t xml:space="preserve">that </w:t>
      </w:r>
      <w:r w:rsidR="005077A0" w:rsidRPr="002F2A99">
        <w:t xml:space="preserve">TEQSA </w:t>
      </w:r>
      <w:r w:rsidR="005601EB">
        <w:t>recommends</w:t>
      </w:r>
      <w:r w:rsidR="0022605D">
        <w:t xml:space="preserve"> </w:t>
      </w:r>
      <w:r w:rsidR="005601EB">
        <w:t>should be considered by the auditor to inform their assessment</w:t>
      </w:r>
      <w:r w:rsidR="005077A0" w:rsidRPr="002F2A99">
        <w:t>.</w:t>
      </w:r>
    </w:p>
    <w:p w14:paraId="2211BA9B" w14:textId="5D85EAC6" w:rsidR="00A47C2B" w:rsidRPr="002F2A99" w:rsidRDefault="00B644A7" w:rsidP="00A47C2B">
      <w:r>
        <w:t>TEQSA considers Standards 2, 3, 4, 6, and 8 as critical to ensuring the quality of education delivered to overseas students. As such, TEQSA recommends that the external audit closely</w:t>
      </w:r>
      <w:r w:rsidR="00A47C2B" w:rsidRPr="002F2A99">
        <w:t xml:space="preserve"> </w:t>
      </w:r>
      <w:r w:rsidR="00801162" w:rsidRPr="002F2A99">
        <w:t xml:space="preserve">review </w:t>
      </w:r>
      <w:r w:rsidR="00DE6A33" w:rsidRPr="002F2A99">
        <w:t>these Standards and the</w:t>
      </w:r>
      <w:r w:rsidR="006D24C9" w:rsidRPr="002F2A99">
        <w:t>ir</w:t>
      </w:r>
      <w:r w:rsidR="00DE6A33" w:rsidRPr="002F2A99">
        <w:t xml:space="preserve"> associated risks</w:t>
      </w:r>
      <w:r>
        <w:t xml:space="preserve"> to ensure each is fully satisfied</w:t>
      </w:r>
      <w:r w:rsidR="00DE6A33" w:rsidRPr="002F2A99">
        <w:t>.</w:t>
      </w:r>
    </w:p>
    <w:p w14:paraId="13D70C14" w14:textId="6CEAC9E8" w:rsidR="001E5450" w:rsidRPr="0095396C" w:rsidRDefault="001E5450" w:rsidP="001E5450">
      <w:r w:rsidRPr="0095396C">
        <w:t xml:space="preserve">TEQSA welcomes the diversity of educational delivery across the sector and recognises that the requirements of the </w:t>
      </w:r>
      <w:r w:rsidR="007E7028" w:rsidRPr="0095396C">
        <w:t xml:space="preserve">ESOS Act and </w:t>
      </w:r>
      <w:r w:rsidR="00951E9E" w:rsidRPr="0095396C">
        <w:t>National Code</w:t>
      </w:r>
      <w:r w:rsidRPr="0095396C">
        <w:t xml:space="preserve"> can be met in different ways according to the circumstances of the provider. </w:t>
      </w:r>
      <w:r w:rsidR="00A56F99" w:rsidRPr="0095396C">
        <w:t xml:space="preserve">TEQSA’s approach is to ensure that </w:t>
      </w:r>
      <w:r w:rsidRPr="0095396C">
        <w:t xml:space="preserve">the requirements </w:t>
      </w:r>
      <w:r w:rsidR="007E7028" w:rsidRPr="0095396C">
        <w:t xml:space="preserve">of the ESOS Act and </w:t>
      </w:r>
      <w:r w:rsidR="00951E9E" w:rsidRPr="0095396C">
        <w:t>National Code</w:t>
      </w:r>
      <w:r w:rsidR="007E7028" w:rsidRPr="0095396C">
        <w:t xml:space="preserve"> </w:t>
      </w:r>
      <w:r w:rsidRPr="0095396C">
        <w:t xml:space="preserve">are met, </w:t>
      </w:r>
      <w:r w:rsidR="00A56F99" w:rsidRPr="0095396C">
        <w:t xml:space="preserve">not to </w:t>
      </w:r>
      <w:r w:rsidRPr="0095396C">
        <w:t xml:space="preserve">prescribe how they are met. </w:t>
      </w:r>
      <w:r w:rsidR="00A56F99" w:rsidRPr="0095396C">
        <w:t xml:space="preserve">If you are preparing an application for re-registration and are unsure about the forms of evidence to include, please </w:t>
      </w:r>
      <w:r w:rsidR="005601EB" w:rsidRPr="0095396C">
        <w:t xml:space="preserve">contact the ESOS/CRICOS team at </w:t>
      </w:r>
      <w:hyperlink r:id="rId11" w:history="1">
        <w:r w:rsidR="00ED17F8" w:rsidRPr="0095396C">
          <w:rPr>
            <w:rStyle w:val="Hyperlink"/>
          </w:rPr>
          <w:t>cricos@teqsa.gov.au</w:t>
        </w:r>
      </w:hyperlink>
      <w:r w:rsidRPr="0095396C">
        <w:t>.</w:t>
      </w:r>
    </w:p>
    <w:bookmarkEnd w:id="1"/>
    <w:p w14:paraId="671D17F8" w14:textId="2B9A7E3B" w:rsidR="0022605D" w:rsidRPr="0022605D" w:rsidRDefault="0022605D" w:rsidP="005601EB">
      <w:pPr>
        <w:pStyle w:val="Heading4"/>
      </w:pPr>
      <w:r>
        <w:t xml:space="preserve">Figure 1 </w:t>
      </w:r>
      <w:r w:rsidR="005601EB">
        <w:t>–</w:t>
      </w:r>
      <w:r w:rsidR="00050348">
        <w:t xml:space="preserve"> K</w:t>
      </w:r>
      <w:r w:rsidR="005601EB" w:rsidRPr="002F2A99">
        <w:t>ey considerations and evidence</w:t>
      </w:r>
      <w:r w:rsidR="00050348">
        <w:t xml:space="preserve"> for external audit</w:t>
      </w:r>
    </w:p>
    <w:tbl>
      <w:tblPr>
        <w:tblStyle w:val="TableGrid"/>
        <w:tblW w:w="9209" w:type="dxa"/>
        <w:tblLook w:val="04A0" w:firstRow="1" w:lastRow="0" w:firstColumn="1" w:lastColumn="0" w:noHBand="0" w:noVBand="1"/>
      </w:tblPr>
      <w:tblGrid>
        <w:gridCol w:w="5524"/>
        <w:gridCol w:w="3685"/>
      </w:tblGrid>
      <w:tr w:rsidR="001D1554" w:rsidRPr="002F2A99" w14:paraId="0FB3BD50" w14:textId="77777777" w:rsidTr="001D1554">
        <w:tc>
          <w:tcPr>
            <w:tcW w:w="5524" w:type="dxa"/>
            <w:shd w:val="clear" w:color="auto" w:fill="ECF7F8" w:themeFill="accent5" w:themeFillTint="33"/>
          </w:tcPr>
          <w:p w14:paraId="1FCD5870" w14:textId="77777777" w:rsidR="001D1554" w:rsidRPr="001D1554" w:rsidRDefault="001D1554" w:rsidP="002763F2">
            <w:pPr>
              <w:rPr>
                <w:b/>
                <w:bCs/>
              </w:rPr>
            </w:pPr>
            <w:r w:rsidRPr="001D1554">
              <w:rPr>
                <w:b/>
                <w:bCs/>
              </w:rPr>
              <w:t>Key considerations</w:t>
            </w:r>
          </w:p>
        </w:tc>
        <w:tc>
          <w:tcPr>
            <w:tcW w:w="3685" w:type="dxa"/>
            <w:shd w:val="clear" w:color="auto" w:fill="ECF7F8" w:themeFill="accent5" w:themeFillTint="33"/>
          </w:tcPr>
          <w:p w14:paraId="23C67643" w14:textId="7D61D8E0" w:rsidR="001D1554" w:rsidRPr="001D1554" w:rsidRDefault="001D1554" w:rsidP="002763F2">
            <w:pPr>
              <w:rPr>
                <w:b/>
                <w:bCs/>
              </w:rPr>
            </w:pPr>
            <w:r w:rsidRPr="001D1554">
              <w:rPr>
                <w:b/>
                <w:bCs/>
              </w:rPr>
              <w:t>Key evidence</w:t>
            </w:r>
          </w:p>
        </w:tc>
      </w:tr>
      <w:tr w:rsidR="001D1554" w:rsidRPr="002F2A99" w14:paraId="754C515E" w14:textId="77777777" w:rsidTr="001D1554">
        <w:tc>
          <w:tcPr>
            <w:tcW w:w="9209" w:type="dxa"/>
            <w:gridSpan w:val="2"/>
            <w:shd w:val="clear" w:color="auto" w:fill="004E7D"/>
          </w:tcPr>
          <w:p w14:paraId="690B65C6" w14:textId="5C4529D0" w:rsidR="001D1554" w:rsidRPr="002F2A99" w:rsidRDefault="001D1554" w:rsidP="002763F2">
            <w:pPr>
              <w:rPr>
                <w:b/>
                <w:bCs/>
                <w:color w:val="FFFFFF" w:themeColor="background1"/>
              </w:rPr>
            </w:pPr>
            <w:r w:rsidRPr="001D1554">
              <w:rPr>
                <w:b/>
                <w:bCs/>
                <w:color w:val="FFFFFF" w:themeColor="background1"/>
              </w:rPr>
              <w:t>Standard 1</w:t>
            </w:r>
          </w:p>
        </w:tc>
      </w:tr>
      <w:tr w:rsidR="001D1554" w:rsidRPr="002F2A99" w14:paraId="0925B999" w14:textId="77777777" w:rsidTr="001D1554">
        <w:tc>
          <w:tcPr>
            <w:tcW w:w="5524" w:type="dxa"/>
          </w:tcPr>
          <w:p w14:paraId="26C5161A" w14:textId="77777777" w:rsidR="001D1554" w:rsidRPr="002F2A99" w:rsidRDefault="001D1554" w:rsidP="001D1554">
            <w:pPr>
              <w:pStyle w:val="Tabletext"/>
              <w:spacing w:before="60" w:after="60"/>
              <w:contextualSpacing/>
              <w:rPr>
                <w:color w:val="FFFFFF" w:themeColor="background1"/>
              </w:rPr>
            </w:pPr>
            <w:r w:rsidRPr="002F2A99">
              <w:t>Marketing and recruitment policies, procedures, and processes that ensure the accuracy of:</w:t>
            </w:r>
          </w:p>
          <w:p w14:paraId="71ED9951" w14:textId="77777777" w:rsidR="001D1554" w:rsidRPr="002F2A99" w:rsidRDefault="001D1554" w:rsidP="001D1554">
            <w:pPr>
              <w:pStyle w:val="Bullet1"/>
              <w:spacing w:before="60" w:after="60"/>
              <w:contextualSpacing/>
            </w:pPr>
            <w:r w:rsidRPr="002F2A99">
              <w:t>recruitment and marketing communications including social media,</w:t>
            </w:r>
          </w:p>
          <w:p w14:paraId="431FA945" w14:textId="77777777" w:rsidR="001D1554" w:rsidRPr="002F2A99" w:rsidRDefault="001D1554" w:rsidP="001D1554">
            <w:pPr>
              <w:pStyle w:val="Bullet1"/>
              <w:spacing w:before="60" w:after="60"/>
              <w:contextualSpacing/>
            </w:pPr>
            <w:r w:rsidRPr="002F2A99">
              <w:t>information about onshore third-party providers</w:t>
            </w:r>
          </w:p>
          <w:p w14:paraId="30AD84D3" w14:textId="77777777" w:rsidR="001D1554" w:rsidRPr="002F2A99" w:rsidRDefault="001D1554" w:rsidP="001D1554">
            <w:pPr>
              <w:pStyle w:val="Bullet1"/>
              <w:spacing w:before="60" w:after="60"/>
              <w:contextualSpacing/>
            </w:pPr>
            <w:r w:rsidRPr="002F2A99">
              <w:t xml:space="preserve">international student transfers </w:t>
            </w:r>
          </w:p>
          <w:p w14:paraId="5F2D38F5" w14:textId="78A7A4C6" w:rsidR="001D1554" w:rsidRPr="002F2A99" w:rsidRDefault="001D1554" w:rsidP="001D1554">
            <w:pPr>
              <w:pStyle w:val="Bullet1"/>
              <w:spacing w:before="60" w:after="60"/>
              <w:contextualSpacing/>
            </w:pPr>
            <w:r w:rsidRPr="002F2A99">
              <w:t>the publishing requirements for CRICOS registered name and registration number.</w:t>
            </w:r>
          </w:p>
        </w:tc>
        <w:tc>
          <w:tcPr>
            <w:tcW w:w="3685" w:type="dxa"/>
          </w:tcPr>
          <w:p w14:paraId="64EEFAE6" w14:textId="77777777" w:rsidR="001D1554" w:rsidRPr="002F2A99" w:rsidRDefault="001D1554" w:rsidP="001D1554">
            <w:pPr>
              <w:spacing w:before="60" w:after="60"/>
              <w:contextualSpacing/>
            </w:pPr>
            <w:r w:rsidRPr="002F2A99">
              <w:t xml:space="preserve">Marketing materials, including: </w:t>
            </w:r>
          </w:p>
          <w:p w14:paraId="3F1C38F9" w14:textId="77777777" w:rsidR="001D1554" w:rsidRPr="002F2A99" w:rsidRDefault="001D1554" w:rsidP="001D1554">
            <w:pPr>
              <w:pStyle w:val="Bullet1"/>
              <w:spacing w:before="60" w:after="60"/>
              <w:contextualSpacing/>
            </w:pPr>
            <w:r w:rsidRPr="002F2A99">
              <w:t>website links</w:t>
            </w:r>
          </w:p>
          <w:p w14:paraId="38C2861E" w14:textId="77777777" w:rsidR="001D1554" w:rsidRPr="002F2A99" w:rsidRDefault="001D1554" w:rsidP="001D1554">
            <w:pPr>
              <w:pStyle w:val="Bullet1"/>
              <w:spacing w:before="60" w:after="60"/>
              <w:contextualSpacing/>
            </w:pPr>
            <w:r w:rsidRPr="002F2A99">
              <w:t>course guides</w:t>
            </w:r>
          </w:p>
          <w:p w14:paraId="19A008B0" w14:textId="77777777" w:rsidR="001D1554" w:rsidRPr="002F2A99" w:rsidRDefault="001D1554" w:rsidP="001D1554">
            <w:pPr>
              <w:pStyle w:val="Bullet1"/>
              <w:spacing w:before="60" w:after="60"/>
              <w:contextualSpacing/>
            </w:pPr>
            <w:r w:rsidRPr="002F2A99">
              <w:t>promotional flyers</w:t>
            </w:r>
          </w:p>
          <w:p w14:paraId="2B7A0EF9" w14:textId="77777777" w:rsidR="001D1554" w:rsidRPr="002F2A99" w:rsidRDefault="001D1554" w:rsidP="001D1554">
            <w:pPr>
              <w:pStyle w:val="Bullet1"/>
              <w:spacing w:before="60" w:after="60"/>
              <w:contextualSpacing/>
            </w:pPr>
            <w:r w:rsidRPr="002F2A99">
              <w:t>campus specific prospectuses</w:t>
            </w:r>
          </w:p>
          <w:p w14:paraId="049D216E" w14:textId="77777777" w:rsidR="001D1554" w:rsidRPr="002F2A99" w:rsidRDefault="001D1554" w:rsidP="001D1554">
            <w:pPr>
              <w:pStyle w:val="Bullet1"/>
              <w:spacing w:before="60" w:after="60"/>
              <w:contextualSpacing/>
            </w:pPr>
            <w:r w:rsidRPr="002F2A99">
              <w:t>social media sites including Facebook, Instagram, You Tube and LinkedIn</w:t>
            </w:r>
          </w:p>
          <w:p w14:paraId="1B182A91" w14:textId="77777777" w:rsidR="001D1554" w:rsidRPr="002F2A99" w:rsidRDefault="001D1554" w:rsidP="001D1554">
            <w:pPr>
              <w:pStyle w:val="Bullet1"/>
              <w:spacing w:before="60" w:after="60"/>
              <w:contextualSpacing/>
            </w:pPr>
            <w:r w:rsidRPr="002F2A99">
              <w:t>onshore third-party provider/s materials.</w:t>
            </w:r>
          </w:p>
        </w:tc>
      </w:tr>
      <w:tr w:rsidR="001D1554" w:rsidRPr="002F2A99" w14:paraId="451B10F9" w14:textId="77777777" w:rsidTr="001D1554">
        <w:tc>
          <w:tcPr>
            <w:tcW w:w="9209" w:type="dxa"/>
            <w:gridSpan w:val="2"/>
            <w:shd w:val="clear" w:color="auto" w:fill="004E7D"/>
          </w:tcPr>
          <w:p w14:paraId="69AA4B63" w14:textId="25263214" w:rsidR="001D1554" w:rsidRPr="002F2A99" w:rsidRDefault="001D1554" w:rsidP="002763F2">
            <w:r w:rsidRPr="001D1554">
              <w:rPr>
                <w:b/>
                <w:bCs/>
                <w:color w:val="FFFFFF" w:themeColor="background1"/>
              </w:rPr>
              <w:t>Standard 2</w:t>
            </w:r>
          </w:p>
        </w:tc>
      </w:tr>
      <w:tr w:rsidR="001D1554" w:rsidRPr="002F2A99" w14:paraId="06F62E47" w14:textId="77777777" w:rsidTr="001D1554">
        <w:tc>
          <w:tcPr>
            <w:tcW w:w="5524" w:type="dxa"/>
          </w:tcPr>
          <w:p w14:paraId="4E39C4B8" w14:textId="77777777" w:rsidR="001D1554" w:rsidRPr="002F2A99" w:rsidRDefault="001D1554" w:rsidP="001D1554">
            <w:pPr>
              <w:spacing w:before="60" w:after="60"/>
              <w:contextualSpacing/>
            </w:pPr>
            <w:r w:rsidRPr="002F2A99">
              <w:t>Information about:</w:t>
            </w:r>
          </w:p>
          <w:p w14:paraId="193C9DEA" w14:textId="77777777" w:rsidR="001D1554" w:rsidRPr="002F2A99" w:rsidRDefault="001D1554" w:rsidP="001D1554">
            <w:pPr>
              <w:pStyle w:val="Bullet1"/>
              <w:spacing w:before="60" w:after="60"/>
              <w:contextualSpacing/>
            </w:pPr>
            <w:r w:rsidRPr="002F2A99">
              <w:t>admissions requirements</w:t>
            </w:r>
          </w:p>
          <w:p w14:paraId="4582D008" w14:textId="77777777" w:rsidR="001D1554" w:rsidRPr="002F2A99" w:rsidRDefault="001D1554" w:rsidP="001D1554">
            <w:pPr>
              <w:pStyle w:val="Bullet1"/>
              <w:spacing w:before="60" w:after="60"/>
              <w:contextualSpacing/>
            </w:pPr>
            <w:r w:rsidRPr="002F2A99">
              <w:t>enrolment deferral, suspension, and cancellation</w:t>
            </w:r>
          </w:p>
          <w:p w14:paraId="46739B52" w14:textId="77777777" w:rsidR="001D1554" w:rsidRPr="002F2A99" w:rsidRDefault="001D1554" w:rsidP="001D1554">
            <w:pPr>
              <w:pStyle w:val="Bullet1"/>
              <w:spacing w:before="60" w:after="60"/>
              <w:contextualSpacing/>
            </w:pPr>
            <w:r w:rsidRPr="002F2A99">
              <w:t>refunds</w:t>
            </w:r>
          </w:p>
          <w:p w14:paraId="5C1A7F84" w14:textId="77777777" w:rsidR="001D1554" w:rsidRPr="002F2A99" w:rsidRDefault="001D1554" w:rsidP="001D1554">
            <w:pPr>
              <w:pStyle w:val="Bullet1"/>
              <w:spacing w:before="60" w:after="60"/>
              <w:contextualSpacing/>
            </w:pPr>
            <w:r w:rsidRPr="002F2A99">
              <w:t>credit transfer, advanced standing, and articulation arrangements</w:t>
            </w:r>
          </w:p>
          <w:p w14:paraId="7F9AC5EA" w14:textId="77777777" w:rsidR="001D1554" w:rsidRPr="002F2A99" w:rsidRDefault="001D1554" w:rsidP="001D1554">
            <w:pPr>
              <w:pStyle w:val="Bullet1"/>
              <w:spacing w:before="60" w:after="60"/>
              <w:contextualSpacing/>
            </w:pPr>
            <w:r w:rsidRPr="002F2A99">
              <w:t>Recognition of Prior Learning (RPL)</w:t>
            </w:r>
          </w:p>
          <w:p w14:paraId="6FA78F7A" w14:textId="77777777" w:rsidR="001D1554" w:rsidRPr="002F2A99" w:rsidRDefault="001D1554" w:rsidP="001D1554">
            <w:pPr>
              <w:pStyle w:val="Bullet1"/>
              <w:spacing w:before="60" w:after="60"/>
              <w:contextualSpacing/>
            </w:pPr>
            <w:r w:rsidRPr="002F2A99">
              <w:t>records management</w:t>
            </w:r>
          </w:p>
          <w:p w14:paraId="0A3823B3" w14:textId="77777777" w:rsidR="001D1554" w:rsidRPr="002F2A99" w:rsidRDefault="001D1554" w:rsidP="001D1554">
            <w:pPr>
              <w:pStyle w:val="Bullet1"/>
              <w:spacing w:before="60" w:after="60"/>
              <w:contextualSpacing/>
            </w:pPr>
            <w:r w:rsidRPr="002F2A99">
              <w:t>work-integrated learning component, if applicable</w:t>
            </w:r>
          </w:p>
          <w:p w14:paraId="26BE3E8E" w14:textId="77777777" w:rsidR="001D1554" w:rsidRPr="002F2A99" w:rsidRDefault="001D1554" w:rsidP="001D1554">
            <w:pPr>
              <w:pStyle w:val="Bullet1"/>
              <w:spacing w:before="60" w:after="60"/>
              <w:contextualSpacing/>
            </w:pPr>
            <w:r w:rsidRPr="002F2A99">
              <w:t>welfare arrangements for younger overseas students, if applicable.</w:t>
            </w:r>
          </w:p>
          <w:p w14:paraId="6B728DB9" w14:textId="77777777" w:rsidR="001D1554" w:rsidRPr="002F2A99" w:rsidRDefault="001D1554" w:rsidP="001D1554">
            <w:pPr>
              <w:spacing w:before="60" w:after="60"/>
              <w:contextualSpacing/>
            </w:pPr>
            <w:r w:rsidRPr="002F2A99">
              <w:t>Additional supporting documentation may include:</w:t>
            </w:r>
          </w:p>
          <w:p w14:paraId="24B3DEA1" w14:textId="77777777" w:rsidR="001D1554" w:rsidRPr="002F2A99" w:rsidRDefault="001D1554" w:rsidP="001D1554">
            <w:pPr>
              <w:pStyle w:val="Bullet1"/>
              <w:spacing w:before="60" w:after="60"/>
              <w:contextualSpacing/>
            </w:pPr>
            <w:r w:rsidRPr="002F2A99">
              <w:t>application forms</w:t>
            </w:r>
          </w:p>
          <w:p w14:paraId="23709A09" w14:textId="77777777" w:rsidR="001D1554" w:rsidRPr="002F2A99" w:rsidRDefault="001D1554" w:rsidP="001D1554">
            <w:pPr>
              <w:pStyle w:val="Bullet1"/>
              <w:spacing w:before="60" w:after="60"/>
              <w:contextualSpacing/>
            </w:pPr>
            <w:r w:rsidRPr="002F2A99">
              <w:t>information for tuition fees and non-tuition fee charges</w:t>
            </w:r>
          </w:p>
          <w:p w14:paraId="6331B402" w14:textId="07335469" w:rsidR="001D1554" w:rsidRPr="002F2A99" w:rsidRDefault="001D1554" w:rsidP="001D1554">
            <w:pPr>
              <w:pStyle w:val="Bullet1"/>
              <w:spacing w:before="60" w:after="60"/>
              <w:contextualSpacing/>
            </w:pPr>
            <w:r w:rsidRPr="002F2A99">
              <w:lastRenderedPageBreak/>
              <w:t>processes for recording course credit on PRISMS and issuing CoEs with reduced course duration.</w:t>
            </w:r>
          </w:p>
        </w:tc>
        <w:tc>
          <w:tcPr>
            <w:tcW w:w="3685" w:type="dxa"/>
          </w:tcPr>
          <w:p w14:paraId="04D3AC36" w14:textId="77777777" w:rsidR="001D1554" w:rsidRPr="002F2A99" w:rsidRDefault="001D1554" w:rsidP="001D1554">
            <w:pPr>
              <w:spacing w:before="60" w:after="60"/>
              <w:contextualSpacing/>
            </w:pPr>
            <w:r w:rsidRPr="002F2A99">
              <w:lastRenderedPageBreak/>
              <w:t xml:space="preserve">Marketing materials, including: </w:t>
            </w:r>
          </w:p>
          <w:p w14:paraId="47825448" w14:textId="77777777" w:rsidR="001D1554" w:rsidRPr="002F2A99" w:rsidRDefault="001D1554" w:rsidP="001D1554">
            <w:pPr>
              <w:pStyle w:val="Bullet1"/>
              <w:spacing w:before="60" w:after="60"/>
              <w:contextualSpacing/>
            </w:pPr>
            <w:r w:rsidRPr="002F2A99">
              <w:t>course-specific brochures</w:t>
            </w:r>
          </w:p>
          <w:p w14:paraId="6DE81EA0" w14:textId="77777777" w:rsidR="001D1554" w:rsidRPr="002F2A99" w:rsidRDefault="001D1554" w:rsidP="001D1554">
            <w:pPr>
              <w:pStyle w:val="Bullet1"/>
              <w:spacing w:before="60" w:after="60"/>
              <w:contextualSpacing/>
            </w:pPr>
            <w:r w:rsidRPr="002F2A99">
              <w:t>international student handbooks</w:t>
            </w:r>
          </w:p>
          <w:p w14:paraId="7CEBE379" w14:textId="77777777" w:rsidR="001D1554" w:rsidRPr="002F2A99" w:rsidRDefault="001D1554" w:rsidP="001D1554">
            <w:pPr>
              <w:pStyle w:val="Bullet1"/>
              <w:spacing w:before="60" w:after="60"/>
              <w:contextualSpacing/>
            </w:pPr>
            <w:r w:rsidRPr="002F2A99">
              <w:t>course information on the provider’s website.</w:t>
            </w:r>
          </w:p>
          <w:p w14:paraId="008282D6" w14:textId="77777777" w:rsidR="001D1554" w:rsidRPr="002F2A99" w:rsidRDefault="001D1554" w:rsidP="001D1554">
            <w:pPr>
              <w:spacing w:before="60" w:after="60"/>
              <w:contextualSpacing/>
            </w:pPr>
            <w:r w:rsidRPr="002F2A99">
              <w:t xml:space="preserve">Sample of a valid number of student files to assess the consistent application of guidelines for: </w:t>
            </w:r>
          </w:p>
          <w:p w14:paraId="29E1F22F" w14:textId="77777777" w:rsidR="001D1554" w:rsidRPr="002F2A99" w:rsidRDefault="001D1554" w:rsidP="001D1554">
            <w:pPr>
              <w:pStyle w:val="Bullet1"/>
              <w:spacing w:before="60" w:after="60"/>
              <w:contextualSpacing/>
            </w:pPr>
            <w:r w:rsidRPr="002F2A99">
              <w:t>admissions, including English language pre-requisites</w:t>
            </w:r>
          </w:p>
          <w:p w14:paraId="5C14AF85" w14:textId="77777777" w:rsidR="001D1554" w:rsidRPr="002F2A99" w:rsidRDefault="001D1554" w:rsidP="001D1554">
            <w:pPr>
              <w:pStyle w:val="Bullet1"/>
              <w:spacing w:before="60" w:after="60"/>
              <w:contextualSpacing/>
            </w:pPr>
            <w:r w:rsidRPr="002F2A99">
              <w:t>credit transfer and RPL</w:t>
            </w:r>
          </w:p>
          <w:p w14:paraId="209E5A5F" w14:textId="77777777" w:rsidR="001D1554" w:rsidRPr="002F2A99" w:rsidRDefault="001D1554" w:rsidP="001D1554">
            <w:pPr>
              <w:pStyle w:val="Bullet1"/>
              <w:spacing w:before="60" w:after="60"/>
              <w:contextualSpacing/>
            </w:pPr>
            <w:r w:rsidRPr="002F2A99">
              <w:t>cohort tracking of student outcomes</w:t>
            </w:r>
          </w:p>
          <w:p w14:paraId="75FDB098" w14:textId="77777777" w:rsidR="001D1554" w:rsidRPr="002F2A99" w:rsidRDefault="001D1554" w:rsidP="001D1554">
            <w:pPr>
              <w:pStyle w:val="Bullet1"/>
              <w:spacing w:before="60" w:after="60"/>
              <w:contextualSpacing/>
            </w:pPr>
            <w:r w:rsidRPr="002F2A99">
              <w:lastRenderedPageBreak/>
              <w:t>evidence of credit transfer and/or RPL precedent registers or database.</w:t>
            </w:r>
          </w:p>
          <w:p w14:paraId="206CBF5E" w14:textId="77777777" w:rsidR="001D1554" w:rsidRPr="002F2A99" w:rsidRDefault="001D1554" w:rsidP="001D1554">
            <w:pPr>
              <w:pStyle w:val="Bullet-In-Table"/>
              <w:numPr>
                <w:ilvl w:val="0"/>
                <w:numId w:val="0"/>
              </w:numPr>
              <w:spacing w:before="60" w:after="60"/>
              <w:ind w:left="463"/>
            </w:pPr>
          </w:p>
        </w:tc>
      </w:tr>
      <w:tr w:rsidR="001D1554" w:rsidRPr="002F2A99" w14:paraId="0A066106" w14:textId="77777777" w:rsidTr="001D1554">
        <w:tc>
          <w:tcPr>
            <w:tcW w:w="9209" w:type="dxa"/>
            <w:gridSpan w:val="2"/>
            <w:shd w:val="clear" w:color="auto" w:fill="004E7D"/>
          </w:tcPr>
          <w:p w14:paraId="1B5E4193" w14:textId="199E854C" w:rsidR="001D1554" w:rsidRPr="001D1554" w:rsidRDefault="001D1554" w:rsidP="001D1554">
            <w:pPr>
              <w:pStyle w:val="Bullet-In-Table"/>
              <w:numPr>
                <w:ilvl w:val="0"/>
                <w:numId w:val="0"/>
              </w:numPr>
              <w:rPr>
                <w:color w:val="FFFFFF" w:themeColor="background1"/>
              </w:rPr>
            </w:pPr>
            <w:r w:rsidRPr="001D1554">
              <w:rPr>
                <w:b/>
                <w:bCs/>
                <w:color w:val="FFFFFF" w:themeColor="background1"/>
              </w:rPr>
              <w:lastRenderedPageBreak/>
              <w:t>Standard 3</w:t>
            </w:r>
          </w:p>
        </w:tc>
      </w:tr>
      <w:tr w:rsidR="001D1554" w:rsidRPr="002F2A99" w14:paraId="3BFEFD4D" w14:textId="77777777" w:rsidTr="001D1554">
        <w:tc>
          <w:tcPr>
            <w:tcW w:w="5524" w:type="dxa"/>
          </w:tcPr>
          <w:p w14:paraId="717CD017" w14:textId="77777777" w:rsidR="001D1554" w:rsidRPr="002F2A99" w:rsidRDefault="001D1554" w:rsidP="001D1554">
            <w:pPr>
              <w:spacing w:before="60" w:after="60"/>
              <w:contextualSpacing/>
            </w:pPr>
            <w:r w:rsidRPr="002F2A99">
              <w:t>Documents such as:</w:t>
            </w:r>
          </w:p>
          <w:p w14:paraId="5C47FF2F" w14:textId="77777777" w:rsidR="001D1554" w:rsidRPr="002F2A99" w:rsidRDefault="001D1554" w:rsidP="001D1554">
            <w:pPr>
              <w:pStyle w:val="Bullet1"/>
              <w:spacing w:before="60" w:after="60"/>
              <w:contextualSpacing/>
            </w:pPr>
            <w:r w:rsidRPr="002F2A99">
              <w:t>current letter of offer template</w:t>
            </w:r>
          </w:p>
          <w:p w14:paraId="51159F97" w14:textId="77777777" w:rsidR="001D1554" w:rsidRPr="002F2A99" w:rsidRDefault="001D1554" w:rsidP="001D1554">
            <w:pPr>
              <w:pStyle w:val="Bullet1"/>
              <w:spacing w:before="60" w:after="60"/>
              <w:contextualSpacing/>
            </w:pPr>
            <w:r w:rsidRPr="002F2A99">
              <w:t>policy and procedure relating to offer acceptance for under 18 students, if applicable</w:t>
            </w:r>
          </w:p>
          <w:p w14:paraId="459844D0" w14:textId="77777777" w:rsidR="001D1554" w:rsidRPr="002F2A99" w:rsidRDefault="001D1554" w:rsidP="001D1554">
            <w:pPr>
              <w:pStyle w:val="Bullet1"/>
              <w:spacing w:before="60" w:after="60"/>
              <w:contextualSpacing/>
            </w:pPr>
            <w:r w:rsidRPr="002F2A99">
              <w:t>refund policy</w:t>
            </w:r>
          </w:p>
          <w:p w14:paraId="7D94BB0C" w14:textId="77777777" w:rsidR="001D1554" w:rsidRPr="002F2A99" w:rsidRDefault="001D1554" w:rsidP="001D1554">
            <w:pPr>
              <w:pStyle w:val="Bullet1"/>
              <w:spacing w:before="60" w:after="60"/>
              <w:contextualSpacing/>
            </w:pPr>
            <w:r w:rsidRPr="002F2A99">
              <w:t>complaints and appeals policy.</w:t>
            </w:r>
          </w:p>
        </w:tc>
        <w:tc>
          <w:tcPr>
            <w:tcW w:w="3685" w:type="dxa"/>
          </w:tcPr>
          <w:p w14:paraId="4DD8B33E" w14:textId="77777777" w:rsidR="001D1554" w:rsidRPr="002F2A99" w:rsidRDefault="001D1554" w:rsidP="001D1554">
            <w:pPr>
              <w:pStyle w:val="Bullet-In-Table"/>
              <w:numPr>
                <w:ilvl w:val="0"/>
                <w:numId w:val="0"/>
              </w:numPr>
              <w:spacing w:before="60" w:after="60"/>
            </w:pPr>
            <w:r w:rsidRPr="002F2A99">
              <w:t>Sample of a valid number of student files, including under 18s if applicable, to assess:</w:t>
            </w:r>
          </w:p>
          <w:p w14:paraId="0D614358" w14:textId="77777777" w:rsidR="001D1554" w:rsidRPr="002F2A99" w:rsidRDefault="001D1554" w:rsidP="001D1554">
            <w:pPr>
              <w:pStyle w:val="Bullet1"/>
              <w:spacing w:before="60" w:after="60"/>
              <w:contextualSpacing/>
            </w:pPr>
            <w:r w:rsidRPr="002F2A99">
              <w:t>the letters contain the requisite information</w:t>
            </w:r>
          </w:p>
          <w:p w14:paraId="178A9EE9" w14:textId="2868099A" w:rsidR="001D1554" w:rsidRPr="001D1554" w:rsidRDefault="001D1554" w:rsidP="001D1554">
            <w:pPr>
              <w:pStyle w:val="Bullet1"/>
              <w:spacing w:before="60" w:after="60"/>
              <w:contextualSpacing/>
            </w:pPr>
            <w:r w:rsidRPr="002F2A99">
              <w:t>refund policy matches conditions in letter of offer and reflect ESOS Act student and provider default provisions</w:t>
            </w:r>
          </w:p>
        </w:tc>
      </w:tr>
      <w:tr w:rsidR="001D1554" w:rsidRPr="002F2A99" w14:paraId="608C3A7B" w14:textId="77777777" w:rsidTr="001D1554">
        <w:tc>
          <w:tcPr>
            <w:tcW w:w="9209" w:type="dxa"/>
            <w:gridSpan w:val="2"/>
            <w:shd w:val="clear" w:color="auto" w:fill="004E7D"/>
          </w:tcPr>
          <w:p w14:paraId="69A1000F" w14:textId="72274A21" w:rsidR="001D1554" w:rsidRPr="001D1554" w:rsidRDefault="001D1554" w:rsidP="001D1554">
            <w:pPr>
              <w:pStyle w:val="Bullet1"/>
              <w:numPr>
                <w:ilvl w:val="0"/>
                <w:numId w:val="0"/>
              </w:numPr>
              <w:ind w:left="284" w:hanging="284"/>
              <w:rPr>
                <w:color w:val="FFFFFF" w:themeColor="background1"/>
              </w:rPr>
            </w:pPr>
            <w:r w:rsidRPr="001D1554">
              <w:rPr>
                <w:b/>
                <w:bCs/>
                <w:color w:val="FFFFFF" w:themeColor="background1"/>
              </w:rPr>
              <w:t>Standard 4</w:t>
            </w:r>
          </w:p>
        </w:tc>
      </w:tr>
      <w:tr w:rsidR="001D1554" w:rsidRPr="002F2A99" w14:paraId="207DE2BB" w14:textId="77777777" w:rsidTr="001D1554">
        <w:tc>
          <w:tcPr>
            <w:tcW w:w="5524" w:type="dxa"/>
          </w:tcPr>
          <w:p w14:paraId="3233082A" w14:textId="77777777" w:rsidR="001D1554" w:rsidRPr="002F2A99" w:rsidRDefault="001D1554" w:rsidP="001D1554">
            <w:pPr>
              <w:spacing w:before="60" w:after="60"/>
              <w:contextualSpacing/>
            </w:pPr>
            <w:r w:rsidRPr="002F2A99">
              <w:t>Documents that demonstrate compliance with the agent recruitment and management process, including:</w:t>
            </w:r>
          </w:p>
          <w:p w14:paraId="6ACD05C0" w14:textId="77777777" w:rsidR="001D1554" w:rsidRPr="002F2A99" w:rsidRDefault="001D1554" w:rsidP="001D1554">
            <w:pPr>
              <w:pStyle w:val="Bullet1"/>
              <w:spacing w:before="60" w:after="60"/>
              <w:contextualSpacing/>
            </w:pPr>
            <w:r w:rsidRPr="002F2A99">
              <w:t>agent recruitment and management policy</w:t>
            </w:r>
          </w:p>
          <w:p w14:paraId="5662966D" w14:textId="77777777" w:rsidR="001D1554" w:rsidRPr="002F2A99" w:rsidRDefault="001D1554" w:rsidP="001D1554">
            <w:pPr>
              <w:pStyle w:val="Bullet1"/>
              <w:spacing w:before="60" w:after="60"/>
              <w:contextualSpacing/>
            </w:pPr>
            <w:r w:rsidRPr="002F2A99">
              <w:t>agent agreement template</w:t>
            </w:r>
          </w:p>
          <w:p w14:paraId="1F31C138" w14:textId="77777777" w:rsidR="001D1554" w:rsidRPr="002F2A99" w:rsidRDefault="001D1554" w:rsidP="001D1554">
            <w:pPr>
              <w:pStyle w:val="Bullet1"/>
              <w:spacing w:before="60" w:after="60"/>
              <w:contextualSpacing/>
            </w:pPr>
            <w:r w:rsidRPr="002F2A99">
              <w:t>agent application forms,</w:t>
            </w:r>
          </w:p>
          <w:p w14:paraId="52CE5137" w14:textId="77777777" w:rsidR="001D1554" w:rsidRPr="002F2A99" w:rsidRDefault="001D1554" w:rsidP="001D1554">
            <w:pPr>
              <w:pStyle w:val="Bullet1"/>
              <w:spacing w:before="60" w:after="60"/>
              <w:contextualSpacing/>
            </w:pPr>
            <w:r w:rsidRPr="002F2A99">
              <w:t>training and induction</w:t>
            </w:r>
          </w:p>
          <w:p w14:paraId="500E9CF2" w14:textId="77777777" w:rsidR="001D1554" w:rsidRPr="002F2A99" w:rsidRDefault="001D1554" w:rsidP="001D1554">
            <w:pPr>
              <w:pStyle w:val="Bullet1"/>
              <w:spacing w:before="60" w:after="60"/>
              <w:contextualSpacing/>
            </w:pPr>
            <w:r w:rsidRPr="002F2A99">
              <w:t>agent updates and meeting notes</w:t>
            </w:r>
          </w:p>
          <w:p w14:paraId="5BA7D451" w14:textId="77777777" w:rsidR="001D1554" w:rsidRPr="002F2A99" w:rsidRDefault="001D1554" w:rsidP="001D1554">
            <w:pPr>
              <w:pStyle w:val="Bullet1"/>
              <w:spacing w:before="60" w:after="60"/>
              <w:contextualSpacing/>
            </w:pPr>
            <w:r w:rsidRPr="002F2A99">
              <w:t>reports on performance indicators, such as enrolled students and success</w:t>
            </w:r>
          </w:p>
          <w:p w14:paraId="5089108D" w14:textId="77777777" w:rsidR="001D1554" w:rsidRPr="002F2A99" w:rsidRDefault="001D1554" w:rsidP="001D1554">
            <w:pPr>
              <w:pStyle w:val="Bullet1"/>
              <w:spacing w:before="60" w:after="60"/>
              <w:contextualSpacing/>
            </w:pPr>
            <w:r w:rsidRPr="002F2A99">
              <w:t>reports on corrective actions</w:t>
            </w:r>
          </w:p>
          <w:p w14:paraId="354CC4FE" w14:textId="77777777" w:rsidR="001D1554" w:rsidRPr="002F2A99" w:rsidRDefault="001D1554" w:rsidP="001D1554">
            <w:pPr>
              <w:pStyle w:val="Bullet1"/>
              <w:spacing w:before="60" w:after="60"/>
              <w:contextualSpacing/>
            </w:pPr>
            <w:r w:rsidRPr="002F2A99">
              <w:t>Board and Committee minutes and relevant agenda items on agent performance</w:t>
            </w:r>
          </w:p>
          <w:p w14:paraId="4DB34B4B" w14:textId="505CC38A" w:rsidR="001D1554" w:rsidRPr="001D1554" w:rsidRDefault="001D1554" w:rsidP="001D1554">
            <w:pPr>
              <w:pStyle w:val="Bullet1"/>
              <w:spacing w:before="60" w:after="60"/>
              <w:contextualSpacing/>
            </w:pPr>
            <w:r w:rsidRPr="002F2A99">
              <w:t>agent list on the provider’s webpage and PRISMS agent list.</w:t>
            </w:r>
          </w:p>
        </w:tc>
        <w:tc>
          <w:tcPr>
            <w:tcW w:w="3685" w:type="dxa"/>
          </w:tcPr>
          <w:p w14:paraId="725C527C" w14:textId="77777777" w:rsidR="001D1554" w:rsidRPr="002F2A99" w:rsidRDefault="001D1554" w:rsidP="001D1554">
            <w:pPr>
              <w:pStyle w:val="Bullet1"/>
              <w:spacing w:before="60" w:after="60"/>
              <w:contextualSpacing/>
            </w:pPr>
            <w:r w:rsidRPr="002F2A99">
              <w:t>Sample recruitment applications and appointments</w:t>
            </w:r>
          </w:p>
          <w:p w14:paraId="5AD561DF" w14:textId="77777777" w:rsidR="001D1554" w:rsidRPr="002F2A99" w:rsidRDefault="001D1554" w:rsidP="001D1554">
            <w:pPr>
              <w:pStyle w:val="Bullet1"/>
              <w:spacing w:before="60" w:after="60"/>
              <w:contextualSpacing/>
            </w:pPr>
            <w:r w:rsidRPr="002F2A99">
              <w:t>Sample agent periodical review reports – including evidence that the provider took corrective action and/or terminated</w:t>
            </w:r>
          </w:p>
          <w:p w14:paraId="4718878C" w14:textId="77777777" w:rsidR="001D1554" w:rsidRPr="002F2A99" w:rsidRDefault="001D1554" w:rsidP="001D1554">
            <w:pPr>
              <w:pStyle w:val="Bullet1"/>
              <w:spacing w:before="60" w:after="60"/>
              <w:contextualSpacing/>
            </w:pPr>
            <w:r w:rsidRPr="002F2A99">
              <w:t>reports to Boards and Committees on agent management</w:t>
            </w:r>
          </w:p>
          <w:p w14:paraId="1314D00B" w14:textId="77777777" w:rsidR="001D1554" w:rsidRPr="002F2A99" w:rsidRDefault="001D1554" w:rsidP="001D1554">
            <w:pPr>
              <w:pStyle w:val="Bullet1"/>
              <w:spacing w:before="60" w:after="60"/>
              <w:contextualSpacing/>
            </w:pPr>
            <w:r w:rsidRPr="002F2A99">
              <w:t>sample PRISMS reports with agent performance data, including the number and proportion of visa refusals per agent.</w:t>
            </w:r>
          </w:p>
        </w:tc>
      </w:tr>
      <w:tr w:rsidR="001D1554" w:rsidRPr="002F2A99" w14:paraId="645C5369" w14:textId="77777777" w:rsidTr="001D1554">
        <w:tc>
          <w:tcPr>
            <w:tcW w:w="9209" w:type="dxa"/>
            <w:gridSpan w:val="2"/>
            <w:shd w:val="clear" w:color="auto" w:fill="004E7D"/>
          </w:tcPr>
          <w:p w14:paraId="066824E7" w14:textId="624382E7" w:rsidR="001D1554" w:rsidRPr="001D1554" w:rsidRDefault="001D1554" w:rsidP="001D1554">
            <w:pPr>
              <w:rPr>
                <w:color w:val="FFFFFF" w:themeColor="background1"/>
              </w:rPr>
            </w:pPr>
            <w:r w:rsidRPr="001D1554">
              <w:rPr>
                <w:b/>
                <w:bCs/>
                <w:color w:val="FFFFFF" w:themeColor="background1"/>
              </w:rPr>
              <w:t>Standard 5</w:t>
            </w:r>
          </w:p>
        </w:tc>
      </w:tr>
      <w:tr w:rsidR="001D1554" w:rsidRPr="002F2A99" w14:paraId="45A56C12" w14:textId="77777777" w:rsidTr="001D1554">
        <w:tc>
          <w:tcPr>
            <w:tcW w:w="5524" w:type="dxa"/>
          </w:tcPr>
          <w:p w14:paraId="1794F7B9" w14:textId="77777777" w:rsidR="001D1554" w:rsidRPr="002F2A99" w:rsidRDefault="001D1554" w:rsidP="001D1554">
            <w:pPr>
              <w:spacing w:before="60" w:after="60"/>
              <w:contextualSpacing/>
            </w:pPr>
            <w:r w:rsidRPr="002F2A99">
              <w:t xml:space="preserve">Policies, procedures, and processes relating to under 18 student admissions, provider transfers, managing welfare arrangements for younger overseas students, working with children checks and/or other regulatory requirements relating to child welfare and protection: </w:t>
            </w:r>
          </w:p>
          <w:p w14:paraId="48F020B7" w14:textId="77777777" w:rsidR="001D1554" w:rsidRPr="002F2A99" w:rsidRDefault="001D1554" w:rsidP="001D1554">
            <w:pPr>
              <w:pStyle w:val="Bullet1"/>
              <w:spacing w:before="60" w:after="60"/>
              <w:contextualSpacing/>
            </w:pPr>
            <w:r w:rsidRPr="002F2A99">
              <w:t>homestay agreements, policies, and processes for selecting, screening, and monitoring</w:t>
            </w:r>
          </w:p>
          <w:p w14:paraId="3F23E246" w14:textId="77777777" w:rsidR="001D1554" w:rsidRPr="002F2A99" w:rsidRDefault="001D1554" w:rsidP="001D1554">
            <w:pPr>
              <w:pStyle w:val="Bullet1"/>
              <w:spacing w:before="60" w:after="60"/>
              <w:contextualSpacing/>
            </w:pPr>
            <w:r w:rsidRPr="002F2A99">
              <w:t>communication materials and resources</w:t>
            </w:r>
          </w:p>
          <w:p w14:paraId="5EAC7071" w14:textId="77777777" w:rsidR="001D1554" w:rsidRPr="002F2A99" w:rsidRDefault="001D1554" w:rsidP="001D1554">
            <w:pPr>
              <w:pStyle w:val="Bullet1"/>
              <w:spacing w:before="60" w:after="60"/>
              <w:contextualSpacing/>
            </w:pPr>
            <w:r w:rsidRPr="002F2A99">
              <w:t>age-appropriate orientation</w:t>
            </w:r>
          </w:p>
          <w:p w14:paraId="1862972A" w14:textId="77777777" w:rsidR="001D1554" w:rsidRPr="002F2A99" w:rsidRDefault="001D1554" w:rsidP="001D1554">
            <w:pPr>
              <w:pStyle w:val="Bullet1"/>
              <w:spacing w:before="60" w:after="60"/>
              <w:contextualSpacing/>
            </w:pPr>
            <w:r w:rsidRPr="002F2A99">
              <w:t>critical incident policy and procedures; provisions specific to under 18 students.</w:t>
            </w:r>
          </w:p>
        </w:tc>
        <w:tc>
          <w:tcPr>
            <w:tcW w:w="3685" w:type="dxa"/>
          </w:tcPr>
          <w:p w14:paraId="194DE041" w14:textId="77777777" w:rsidR="001D1554" w:rsidRPr="002F2A99" w:rsidRDefault="001D1554" w:rsidP="001D1554">
            <w:pPr>
              <w:spacing w:before="60" w:after="60"/>
              <w:contextualSpacing/>
            </w:pPr>
            <w:r w:rsidRPr="002F2A99">
              <w:t>Sample of a valid number of under 18 student files:</w:t>
            </w:r>
          </w:p>
          <w:p w14:paraId="5BA0E7B7" w14:textId="77777777" w:rsidR="001D1554" w:rsidRPr="002F2A99" w:rsidRDefault="001D1554" w:rsidP="001D1554">
            <w:pPr>
              <w:pStyle w:val="Bullet1"/>
              <w:spacing w:before="60" w:after="60"/>
              <w:contextualSpacing/>
            </w:pPr>
            <w:r w:rsidRPr="002F2A99">
              <w:t>letter of offer</w:t>
            </w:r>
          </w:p>
          <w:p w14:paraId="46E649F9" w14:textId="77777777" w:rsidR="001D1554" w:rsidRPr="002F2A99" w:rsidRDefault="001D1554" w:rsidP="001D1554">
            <w:pPr>
              <w:pStyle w:val="Bullet1"/>
              <w:spacing w:before="60" w:after="60"/>
              <w:contextualSpacing/>
            </w:pPr>
            <w:r w:rsidRPr="002F2A99">
              <w:t>parent or guardian consent</w:t>
            </w:r>
          </w:p>
          <w:p w14:paraId="0BB09DEB" w14:textId="77777777" w:rsidR="001D1554" w:rsidRPr="002F2A99" w:rsidRDefault="001D1554" w:rsidP="001D1554">
            <w:pPr>
              <w:pStyle w:val="Bullet1"/>
              <w:spacing w:before="60" w:after="60"/>
              <w:contextualSpacing/>
            </w:pPr>
            <w:r w:rsidRPr="002F2A99">
              <w:t>Confirmation of Appropriate Accommodation and Welfare (CAAW) arrangements</w:t>
            </w:r>
          </w:p>
          <w:p w14:paraId="11A6E64A" w14:textId="77777777" w:rsidR="001D1554" w:rsidRPr="002F2A99" w:rsidRDefault="001D1554" w:rsidP="001D1554">
            <w:pPr>
              <w:pStyle w:val="Bullet1"/>
              <w:spacing w:before="60" w:after="60"/>
              <w:contextualSpacing/>
            </w:pPr>
            <w:r w:rsidRPr="002F2A99">
              <w:t xml:space="preserve">evidence that the Working with Children legislative requirements were met by provider staff, homestay hosts, as well as continued monitoring by the homestay provider and provider </w:t>
            </w:r>
          </w:p>
          <w:p w14:paraId="4ADD54E9" w14:textId="77777777" w:rsidR="001D1554" w:rsidRPr="002F2A99" w:rsidRDefault="001D1554" w:rsidP="001D1554">
            <w:pPr>
              <w:pStyle w:val="Bullet1"/>
              <w:spacing w:before="60" w:after="60"/>
              <w:contextualSpacing/>
            </w:pPr>
            <w:r w:rsidRPr="002F2A99">
              <w:t xml:space="preserve">evidence of six-monthly reviews of homestay arrangements and </w:t>
            </w:r>
            <w:r w:rsidRPr="002F2A99">
              <w:lastRenderedPageBreak/>
              <w:t>follow up action if issues have been identified</w:t>
            </w:r>
          </w:p>
          <w:p w14:paraId="6FD7D223" w14:textId="5E7AC787" w:rsidR="001D1554" w:rsidRPr="002F2A99" w:rsidRDefault="001D1554" w:rsidP="001D1554">
            <w:pPr>
              <w:pStyle w:val="Bullet1"/>
              <w:spacing w:before="60" w:after="60"/>
              <w:contextualSpacing/>
            </w:pPr>
            <w:r w:rsidRPr="002F2A99">
              <w:t>critical incident reports and register.</w:t>
            </w:r>
          </w:p>
        </w:tc>
      </w:tr>
      <w:tr w:rsidR="001D1554" w:rsidRPr="002F2A99" w14:paraId="199C8C26" w14:textId="77777777" w:rsidTr="001D1554">
        <w:tc>
          <w:tcPr>
            <w:tcW w:w="9209" w:type="dxa"/>
            <w:gridSpan w:val="2"/>
            <w:shd w:val="clear" w:color="auto" w:fill="004E7D"/>
          </w:tcPr>
          <w:p w14:paraId="513FDA0A" w14:textId="1541ECDB" w:rsidR="001D1554" w:rsidRPr="001D1554" w:rsidRDefault="001D1554" w:rsidP="001D1554">
            <w:pPr>
              <w:pStyle w:val="Bullet1"/>
              <w:numPr>
                <w:ilvl w:val="0"/>
                <w:numId w:val="0"/>
              </w:numPr>
              <w:ind w:left="284" w:hanging="284"/>
              <w:rPr>
                <w:color w:val="FFFFFF" w:themeColor="background1"/>
              </w:rPr>
            </w:pPr>
            <w:r w:rsidRPr="001D1554">
              <w:rPr>
                <w:b/>
                <w:bCs/>
                <w:color w:val="FFFFFF" w:themeColor="background1"/>
              </w:rPr>
              <w:lastRenderedPageBreak/>
              <w:t>Standard 6</w:t>
            </w:r>
          </w:p>
        </w:tc>
      </w:tr>
      <w:tr w:rsidR="001D1554" w:rsidRPr="002F2A99" w14:paraId="530FCB9A" w14:textId="77777777" w:rsidTr="001D1554">
        <w:tc>
          <w:tcPr>
            <w:tcW w:w="5524" w:type="dxa"/>
          </w:tcPr>
          <w:p w14:paraId="21580C39" w14:textId="77777777" w:rsidR="001D1554" w:rsidRPr="002F2A99" w:rsidRDefault="001D1554" w:rsidP="001D1554">
            <w:pPr>
              <w:spacing w:before="60" w:after="60"/>
              <w:contextualSpacing/>
            </w:pPr>
            <w:r w:rsidRPr="002F2A99">
              <w:t>Policy, procedures, processes, and information relating to student academic and non-academic support, managing student critical incidents and emergencies, ESOS training:</w:t>
            </w:r>
          </w:p>
          <w:p w14:paraId="49D9B60E" w14:textId="77777777" w:rsidR="001D1554" w:rsidRPr="002F2A99" w:rsidRDefault="001D1554" w:rsidP="001D1554">
            <w:pPr>
              <w:pStyle w:val="Bullet1"/>
              <w:spacing w:before="60" w:after="60"/>
              <w:contextualSpacing/>
            </w:pPr>
            <w:r w:rsidRPr="002F2A99">
              <w:t xml:space="preserve">orientation program, including slides, PowerPoint or Word document </w:t>
            </w:r>
          </w:p>
          <w:p w14:paraId="402A1EA3" w14:textId="77777777" w:rsidR="001D1554" w:rsidRPr="002F2A99" w:rsidRDefault="001D1554" w:rsidP="001D1554">
            <w:pPr>
              <w:pStyle w:val="Bullet1"/>
              <w:spacing w:before="60" w:after="60"/>
              <w:contextualSpacing/>
            </w:pPr>
            <w:r w:rsidRPr="002F2A99">
              <w:t>student handbooks and website information relating to pre-arrival information, health and well-being, counselling services, academic support, advocacy, complaints, facilities, accommodation, legal services, course progress requirements and international students’ study expectations, adjusting to living in Australia, safety, working in Australia and employment rights and emergency contact details for assistance</w:t>
            </w:r>
          </w:p>
          <w:p w14:paraId="2AE62E1B" w14:textId="77777777" w:rsidR="001D1554" w:rsidRPr="002F2A99" w:rsidRDefault="001D1554" w:rsidP="001D1554">
            <w:pPr>
              <w:pStyle w:val="Bullet1"/>
              <w:spacing w:before="60" w:after="60"/>
              <w:contextualSpacing/>
            </w:pPr>
            <w:r w:rsidRPr="002F2A99">
              <w:t>critical incident policy and procedure</w:t>
            </w:r>
          </w:p>
          <w:p w14:paraId="5F1D0D55" w14:textId="1F062789" w:rsidR="001D1554" w:rsidRPr="00BF1EB7" w:rsidRDefault="001D1554" w:rsidP="001D1554">
            <w:pPr>
              <w:pStyle w:val="Bullet1"/>
              <w:spacing w:before="60" w:after="60"/>
              <w:contextualSpacing/>
            </w:pPr>
            <w:r w:rsidRPr="002F2A99">
              <w:t>HR recruitment or training policies, ESOS training and/or induction manuals and examples of training undertaken.</w:t>
            </w:r>
          </w:p>
        </w:tc>
        <w:tc>
          <w:tcPr>
            <w:tcW w:w="3685" w:type="dxa"/>
          </w:tcPr>
          <w:p w14:paraId="78956FB6" w14:textId="77777777" w:rsidR="001D1554" w:rsidRPr="002F2A99" w:rsidRDefault="001D1554" w:rsidP="001D1554">
            <w:pPr>
              <w:pStyle w:val="Bullet1"/>
              <w:spacing w:before="60" w:after="60"/>
              <w:contextualSpacing/>
            </w:pPr>
            <w:r w:rsidRPr="002F2A99">
              <w:t>internal reviews of student support services; uptake, experience</w:t>
            </w:r>
          </w:p>
          <w:p w14:paraId="17EB804C" w14:textId="77777777" w:rsidR="001D1554" w:rsidRPr="002F2A99" w:rsidRDefault="001D1554" w:rsidP="001D1554">
            <w:pPr>
              <w:pStyle w:val="Bullet1"/>
              <w:spacing w:before="60" w:after="60"/>
              <w:contextualSpacing/>
            </w:pPr>
            <w:r w:rsidRPr="002F2A99">
              <w:t>critical incident reports and register</w:t>
            </w:r>
          </w:p>
          <w:p w14:paraId="40A59BBB" w14:textId="77777777" w:rsidR="001D1554" w:rsidRPr="002F2A99" w:rsidRDefault="001D1554" w:rsidP="001D1554">
            <w:pPr>
              <w:pStyle w:val="Bullet1"/>
              <w:spacing w:before="60" w:after="60"/>
              <w:contextualSpacing/>
            </w:pPr>
            <w:r w:rsidRPr="002F2A99">
              <w:t>samples of position descriptions or induction or training.</w:t>
            </w:r>
          </w:p>
          <w:p w14:paraId="2C5430A6" w14:textId="77777777" w:rsidR="001D1554" w:rsidRPr="002F2A99" w:rsidRDefault="001D1554" w:rsidP="001D1554">
            <w:pPr>
              <w:pStyle w:val="Bullet-In-Table"/>
              <w:numPr>
                <w:ilvl w:val="0"/>
                <w:numId w:val="0"/>
              </w:numPr>
              <w:spacing w:before="60" w:after="60"/>
              <w:ind w:left="463" w:hanging="360"/>
            </w:pPr>
          </w:p>
          <w:p w14:paraId="34DB105F" w14:textId="77777777" w:rsidR="001D1554" w:rsidRPr="002F2A99" w:rsidRDefault="001D1554" w:rsidP="001D1554">
            <w:pPr>
              <w:spacing w:before="60" w:after="60"/>
              <w:contextualSpacing/>
            </w:pPr>
          </w:p>
        </w:tc>
      </w:tr>
      <w:tr w:rsidR="001D1554" w:rsidRPr="002F2A99" w14:paraId="03DF09A5" w14:textId="77777777" w:rsidTr="001D1554">
        <w:tc>
          <w:tcPr>
            <w:tcW w:w="9209" w:type="dxa"/>
            <w:gridSpan w:val="2"/>
            <w:shd w:val="clear" w:color="auto" w:fill="004E7D"/>
          </w:tcPr>
          <w:p w14:paraId="1306B875" w14:textId="23A73AB6" w:rsidR="001D1554" w:rsidRPr="001D1554" w:rsidRDefault="001D1554" w:rsidP="001D1554">
            <w:pPr>
              <w:pStyle w:val="Bullet1"/>
              <w:numPr>
                <w:ilvl w:val="0"/>
                <w:numId w:val="0"/>
              </w:numPr>
              <w:ind w:left="284" w:hanging="284"/>
              <w:rPr>
                <w:color w:val="FFFFFF" w:themeColor="background1"/>
              </w:rPr>
            </w:pPr>
            <w:r w:rsidRPr="001D1554">
              <w:rPr>
                <w:b/>
                <w:bCs/>
                <w:color w:val="FFFFFF" w:themeColor="background1"/>
              </w:rPr>
              <w:t>Standard 7</w:t>
            </w:r>
          </w:p>
        </w:tc>
      </w:tr>
      <w:tr w:rsidR="001D1554" w:rsidRPr="002F2A99" w14:paraId="62CD692D" w14:textId="77777777" w:rsidTr="001D1554">
        <w:tc>
          <w:tcPr>
            <w:tcW w:w="5524" w:type="dxa"/>
          </w:tcPr>
          <w:p w14:paraId="21553093" w14:textId="77777777" w:rsidR="001D1554" w:rsidRPr="002F2A99" w:rsidRDefault="001D1554" w:rsidP="001D1554">
            <w:pPr>
              <w:spacing w:before="60" w:after="60"/>
              <w:contextualSpacing/>
            </w:pPr>
            <w:r w:rsidRPr="002F2A99">
              <w:t>Policy, procedures, and processes for overseas students transferring to and from the provider (including for under 18 students):</w:t>
            </w:r>
          </w:p>
          <w:p w14:paraId="5C3532F8" w14:textId="77777777" w:rsidR="001D1554" w:rsidRPr="002F2A99" w:rsidRDefault="001D1554" w:rsidP="001D1554">
            <w:pPr>
              <w:pStyle w:val="Bullet1"/>
              <w:spacing w:before="60" w:after="60"/>
              <w:contextualSpacing/>
            </w:pPr>
            <w:r w:rsidRPr="002F2A99">
              <w:t>international student transfer policy and procedure</w:t>
            </w:r>
          </w:p>
          <w:p w14:paraId="7FF13D70" w14:textId="77777777" w:rsidR="001D1554" w:rsidRPr="002F2A99" w:rsidRDefault="001D1554" w:rsidP="001D1554">
            <w:pPr>
              <w:pStyle w:val="Bullet1"/>
              <w:spacing w:before="60" w:after="60"/>
              <w:contextualSpacing/>
            </w:pPr>
            <w:r w:rsidRPr="002F2A99">
              <w:t>release letter templates, both for granting, refusing, and accepting a release</w:t>
            </w:r>
          </w:p>
          <w:p w14:paraId="745BAFF7" w14:textId="064FF8A6" w:rsidR="001D1554" w:rsidRPr="002F2A99" w:rsidRDefault="001D1554" w:rsidP="001D1554">
            <w:pPr>
              <w:pStyle w:val="Bullet1"/>
              <w:spacing w:before="60" w:after="60"/>
              <w:contextualSpacing/>
            </w:pPr>
            <w:r w:rsidRPr="002F2A99">
              <w:t>process for complaints and appeals when a student is not granted a letter of release.</w:t>
            </w:r>
          </w:p>
        </w:tc>
        <w:tc>
          <w:tcPr>
            <w:tcW w:w="3685" w:type="dxa"/>
          </w:tcPr>
          <w:p w14:paraId="7C7A931C" w14:textId="77777777" w:rsidR="001D1554" w:rsidRPr="002F2A99" w:rsidRDefault="001D1554" w:rsidP="001D1554">
            <w:pPr>
              <w:pStyle w:val="Bullet1"/>
              <w:spacing w:before="60" w:after="60"/>
              <w:contextualSpacing/>
            </w:pPr>
            <w:r w:rsidRPr="002F2A99">
              <w:t xml:space="preserve">Sample of a valid number of student files to verify application of policy and procedure </w:t>
            </w:r>
          </w:p>
          <w:p w14:paraId="056A8718" w14:textId="77777777" w:rsidR="001D1554" w:rsidRPr="002F2A99" w:rsidRDefault="001D1554" w:rsidP="001D1554">
            <w:pPr>
              <w:pStyle w:val="Bullet1"/>
              <w:spacing w:before="60" w:after="60"/>
              <w:contextualSpacing/>
            </w:pPr>
            <w:r w:rsidRPr="002F2A99">
              <w:t>PRISMS report on students who have transferred between providers.</w:t>
            </w:r>
          </w:p>
        </w:tc>
      </w:tr>
      <w:tr w:rsidR="001D1554" w:rsidRPr="002F2A99" w14:paraId="275F6B35" w14:textId="77777777" w:rsidTr="001D1554">
        <w:tc>
          <w:tcPr>
            <w:tcW w:w="9209" w:type="dxa"/>
            <w:gridSpan w:val="2"/>
            <w:shd w:val="clear" w:color="auto" w:fill="004E7D"/>
          </w:tcPr>
          <w:p w14:paraId="565F76DA" w14:textId="46048E9F" w:rsidR="001D1554" w:rsidRPr="001D1554" w:rsidRDefault="001D1554" w:rsidP="001D1554">
            <w:pPr>
              <w:pStyle w:val="Bullet1"/>
              <w:numPr>
                <w:ilvl w:val="0"/>
                <w:numId w:val="0"/>
              </w:numPr>
              <w:rPr>
                <w:color w:val="FFFFFF" w:themeColor="background1"/>
              </w:rPr>
            </w:pPr>
            <w:r w:rsidRPr="001D1554">
              <w:rPr>
                <w:b/>
                <w:bCs/>
                <w:color w:val="FFFFFF" w:themeColor="background1"/>
              </w:rPr>
              <w:t>Standard 8</w:t>
            </w:r>
          </w:p>
        </w:tc>
      </w:tr>
      <w:tr w:rsidR="001D1554" w:rsidRPr="002F2A99" w14:paraId="64A3CB5A" w14:textId="77777777" w:rsidTr="001D1554">
        <w:tc>
          <w:tcPr>
            <w:tcW w:w="5524" w:type="dxa"/>
          </w:tcPr>
          <w:p w14:paraId="6CBF32E3" w14:textId="77777777" w:rsidR="001D1554" w:rsidRPr="002F2A99" w:rsidRDefault="001D1554" w:rsidP="001D1554">
            <w:pPr>
              <w:spacing w:before="60" w:after="60"/>
              <w:contextualSpacing/>
            </w:pPr>
            <w:r w:rsidRPr="002F2A99">
              <w:t>Policy, procedures, and processes for course progression and monitoring academic progress and attendance, if applicable, managing students at risk, course rules and enrolment period extensions:</w:t>
            </w:r>
          </w:p>
          <w:p w14:paraId="7E103050" w14:textId="77777777" w:rsidR="001D1554" w:rsidRPr="002F2A99" w:rsidRDefault="001D1554" w:rsidP="001D1554">
            <w:pPr>
              <w:pStyle w:val="Bullet1"/>
              <w:spacing w:before="60" w:after="60"/>
              <w:contextualSpacing/>
            </w:pPr>
            <w:r w:rsidRPr="002F2A99">
              <w:t>course progression policy and procedure</w:t>
            </w:r>
          </w:p>
          <w:p w14:paraId="4E1A6506" w14:textId="77777777" w:rsidR="001D1554" w:rsidRPr="002F2A99" w:rsidRDefault="001D1554" w:rsidP="001D1554">
            <w:pPr>
              <w:pStyle w:val="Bullet1"/>
              <w:spacing w:before="60" w:after="60"/>
              <w:contextualSpacing/>
            </w:pPr>
            <w:r w:rsidRPr="002F2A99">
              <w:t>monitoring attendance policy and procedure</w:t>
            </w:r>
          </w:p>
          <w:p w14:paraId="65A269AC" w14:textId="77777777" w:rsidR="001D1554" w:rsidRPr="002F2A99" w:rsidRDefault="001D1554" w:rsidP="001D1554">
            <w:pPr>
              <w:pStyle w:val="Bullet1"/>
              <w:spacing w:before="60" w:after="60"/>
              <w:contextualSpacing/>
            </w:pPr>
            <w:r w:rsidRPr="002F2A99">
              <w:t>processes to extend course duration,</w:t>
            </w:r>
          </w:p>
          <w:p w14:paraId="44967184" w14:textId="2EBABCC7" w:rsidR="001D1554" w:rsidRPr="00BF1EB7" w:rsidRDefault="001D1554" w:rsidP="001D1554">
            <w:pPr>
              <w:pStyle w:val="Bullet1"/>
              <w:spacing w:before="60" w:after="60"/>
              <w:contextualSpacing/>
            </w:pPr>
            <w:r w:rsidRPr="002F2A99">
              <w:t>letter templates and examples, of warning/show cause letters for unsatisfactory course progress and attendance, if applicable.</w:t>
            </w:r>
          </w:p>
        </w:tc>
        <w:tc>
          <w:tcPr>
            <w:tcW w:w="3685" w:type="dxa"/>
          </w:tcPr>
          <w:p w14:paraId="5A8DA4D3" w14:textId="77777777" w:rsidR="001D1554" w:rsidRPr="002F2A99" w:rsidRDefault="001D1554" w:rsidP="001D1554">
            <w:pPr>
              <w:pStyle w:val="Bullet1"/>
              <w:spacing w:before="60" w:after="60"/>
              <w:contextualSpacing/>
            </w:pPr>
            <w:r w:rsidRPr="002F2A99">
              <w:t>Sample a valid number of student files to demonstrate course progression and attendance monitoring policy and procedures and the application of the CoE extension process</w:t>
            </w:r>
          </w:p>
          <w:p w14:paraId="06F9249F" w14:textId="77777777" w:rsidR="001D1554" w:rsidRPr="002F2A99" w:rsidRDefault="001D1554" w:rsidP="001D1554">
            <w:pPr>
              <w:pStyle w:val="Bullet1"/>
              <w:spacing w:before="60" w:after="60"/>
              <w:contextualSpacing/>
            </w:pPr>
            <w:r w:rsidRPr="002F2A99">
              <w:t>Course progress review meeting minutes or committee meeting agendas and minutes</w:t>
            </w:r>
          </w:p>
          <w:p w14:paraId="2A2B9299" w14:textId="58297185" w:rsidR="001D1554" w:rsidRPr="002F2A99" w:rsidRDefault="001D1554" w:rsidP="001D1554">
            <w:pPr>
              <w:pStyle w:val="Bullet1"/>
              <w:spacing w:before="60" w:after="60"/>
              <w:contextualSpacing/>
            </w:pPr>
            <w:r w:rsidRPr="002F2A99">
              <w:t>PRISMS Student Course Variation (SCV) reports.</w:t>
            </w:r>
          </w:p>
        </w:tc>
      </w:tr>
      <w:tr w:rsidR="001D1554" w:rsidRPr="002F2A99" w14:paraId="055EDC11" w14:textId="77777777" w:rsidTr="001D1554">
        <w:tc>
          <w:tcPr>
            <w:tcW w:w="9209" w:type="dxa"/>
            <w:gridSpan w:val="2"/>
            <w:shd w:val="clear" w:color="auto" w:fill="004E7D"/>
          </w:tcPr>
          <w:p w14:paraId="432F3707" w14:textId="1FC88817" w:rsidR="001D1554" w:rsidRPr="001D1554" w:rsidRDefault="001D1554" w:rsidP="001D1554">
            <w:pPr>
              <w:pStyle w:val="Bullet1"/>
              <w:keepNext/>
              <w:numPr>
                <w:ilvl w:val="0"/>
                <w:numId w:val="0"/>
              </w:numPr>
              <w:ind w:left="284" w:hanging="284"/>
              <w:rPr>
                <w:rStyle w:val="Bullet-In-TableChar"/>
                <w:color w:val="FFFFFF" w:themeColor="background1"/>
              </w:rPr>
            </w:pPr>
            <w:r w:rsidRPr="001D1554">
              <w:rPr>
                <w:b/>
                <w:bCs/>
                <w:color w:val="FFFFFF" w:themeColor="background1"/>
              </w:rPr>
              <w:lastRenderedPageBreak/>
              <w:t>Standard 9</w:t>
            </w:r>
          </w:p>
        </w:tc>
      </w:tr>
      <w:tr w:rsidR="001D1554" w:rsidRPr="002F2A99" w14:paraId="48844A61" w14:textId="77777777" w:rsidTr="001D1554">
        <w:tc>
          <w:tcPr>
            <w:tcW w:w="5524" w:type="dxa"/>
          </w:tcPr>
          <w:p w14:paraId="435D3587" w14:textId="77777777" w:rsidR="001D1554" w:rsidRPr="002F2A99" w:rsidRDefault="001D1554" w:rsidP="001D1554">
            <w:pPr>
              <w:spacing w:before="60" w:after="60"/>
              <w:contextualSpacing/>
            </w:pPr>
            <w:r w:rsidRPr="002F2A99">
              <w:t xml:space="preserve">Policy, procedures and processes for deferrals, </w:t>
            </w:r>
            <w:r w:rsidRPr="002F2A99">
              <w:rPr>
                <w:rStyle w:val="Bullet-In-TableChar"/>
              </w:rPr>
              <w:t>leave of absence, or provider-initiated</w:t>
            </w:r>
            <w:r w:rsidRPr="002F2A99">
              <w:t xml:space="preserve"> suspensions and cancellations:</w:t>
            </w:r>
          </w:p>
          <w:p w14:paraId="69DB5249" w14:textId="77777777" w:rsidR="001D1554" w:rsidRPr="002F2A99" w:rsidRDefault="001D1554" w:rsidP="001D1554">
            <w:pPr>
              <w:pStyle w:val="Bullet1"/>
              <w:spacing w:before="60" w:after="60"/>
              <w:contextualSpacing/>
            </w:pPr>
            <w:r w:rsidRPr="002F2A99">
              <w:t>change of enrolment policies and procedures</w:t>
            </w:r>
          </w:p>
          <w:p w14:paraId="1DF096FC" w14:textId="77777777" w:rsidR="001D1554" w:rsidRPr="002F2A99" w:rsidRDefault="001D1554" w:rsidP="001D1554">
            <w:pPr>
              <w:pStyle w:val="Bullet1"/>
              <w:spacing w:before="60" w:after="60"/>
              <w:contextualSpacing/>
            </w:pPr>
            <w:r w:rsidRPr="002F2A99">
              <w:t>letter templates and examples of correspondence</w:t>
            </w:r>
          </w:p>
          <w:p w14:paraId="31DCFA92" w14:textId="4242A248" w:rsidR="001D1554" w:rsidRPr="002F2A99" w:rsidRDefault="001D1554" w:rsidP="001D1554">
            <w:pPr>
              <w:pStyle w:val="Bullet1"/>
              <w:spacing w:before="60" w:after="60"/>
              <w:contextualSpacing/>
            </w:pPr>
            <w:r w:rsidRPr="002F2A99">
              <w:t>process for reporting a SCV change to PRISMS.</w:t>
            </w:r>
          </w:p>
        </w:tc>
        <w:tc>
          <w:tcPr>
            <w:tcW w:w="3685" w:type="dxa"/>
          </w:tcPr>
          <w:p w14:paraId="05856F49" w14:textId="77777777" w:rsidR="001D1554" w:rsidRPr="002F2A99" w:rsidRDefault="001D1554" w:rsidP="001D1554">
            <w:pPr>
              <w:pStyle w:val="Bullet1"/>
              <w:spacing w:before="60" w:after="60"/>
              <w:contextualSpacing/>
            </w:pPr>
            <w:r w:rsidRPr="002F2A99">
              <w:rPr>
                <w:rStyle w:val="Bullet-In-TableChar"/>
              </w:rPr>
              <w:t>Sample a valid number of student files for students relating to deferrals and leave of absence, or provider-initiated suspension or cancellation.</w:t>
            </w:r>
          </w:p>
          <w:p w14:paraId="6B0AF87E" w14:textId="77777777" w:rsidR="001D1554" w:rsidRPr="002F2A99" w:rsidRDefault="001D1554" w:rsidP="001D1554">
            <w:pPr>
              <w:pStyle w:val="Bullet1"/>
              <w:spacing w:before="60" w:after="60"/>
              <w:contextualSpacing/>
            </w:pPr>
            <w:r w:rsidRPr="002F2A99">
              <w:t>PRISMS report on students who have deferred, been suspended, or had their enrolments cancelled</w:t>
            </w:r>
          </w:p>
          <w:p w14:paraId="5A8C040D" w14:textId="19E43CCE" w:rsidR="001D1554" w:rsidRPr="00BF1EB7" w:rsidRDefault="001D1554" w:rsidP="001D1554">
            <w:pPr>
              <w:pStyle w:val="Bullet1"/>
              <w:spacing w:before="60" w:after="60"/>
              <w:contextualSpacing/>
            </w:pPr>
            <w:r w:rsidRPr="002F2A99">
              <w:t>PRISMS Student Course Variation (SCV) reports.</w:t>
            </w:r>
          </w:p>
        </w:tc>
      </w:tr>
      <w:tr w:rsidR="001D1554" w:rsidRPr="002F2A99" w14:paraId="46042ACC" w14:textId="77777777" w:rsidTr="001D1554">
        <w:tc>
          <w:tcPr>
            <w:tcW w:w="9209" w:type="dxa"/>
            <w:gridSpan w:val="2"/>
            <w:shd w:val="clear" w:color="auto" w:fill="004E7D"/>
          </w:tcPr>
          <w:p w14:paraId="00653739" w14:textId="6BBDB42A" w:rsidR="001D1554" w:rsidRPr="001D1554" w:rsidRDefault="001D1554" w:rsidP="001D1554">
            <w:pPr>
              <w:pStyle w:val="Bullet1"/>
              <w:numPr>
                <w:ilvl w:val="0"/>
                <w:numId w:val="0"/>
              </w:numPr>
              <w:ind w:left="284" w:hanging="284"/>
              <w:rPr>
                <w:color w:val="FFFFFF" w:themeColor="background1"/>
              </w:rPr>
            </w:pPr>
            <w:r w:rsidRPr="001D1554">
              <w:rPr>
                <w:b/>
                <w:bCs/>
                <w:color w:val="FFFFFF" w:themeColor="background1"/>
              </w:rPr>
              <w:t>Standard 10</w:t>
            </w:r>
          </w:p>
        </w:tc>
      </w:tr>
      <w:tr w:rsidR="001D1554" w:rsidRPr="002F2A99" w14:paraId="67376BBE" w14:textId="77777777" w:rsidTr="001D1554">
        <w:tc>
          <w:tcPr>
            <w:tcW w:w="5524" w:type="dxa"/>
          </w:tcPr>
          <w:p w14:paraId="52CDBD9D" w14:textId="77777777" w:rsidR="001D1554" w:rsidRPr="002F2A99" w:rsidRDefault="001D1554" w:rsidP="001D1554">
            <w:pPr>
              <w:spacing w:before="60" w:after="60"/>
              <w:contextualSpacing/>
            </w:pPr>
            <w:r w:rsidRPr="002F2A99">
              <w:t>Policy, procedures and processes for complaints and appeals</w:t>
            </w:r>
          </w:p>
          <w:p w14:paraId="39F008FA" w14:textId="77777777" w:rsidR="001D1554" w:rsidRPr="002F2A99" w:rsidRDefault="001D1554" w:rsidP="001D1554">
            <w:pPr>
              <w:pStyle w:val="Bullet1"/>
              <w:spacing w:before="60" w:after="60"/>
              <w:contextualSpacing/>
            </w:pPr>
            <w:r w:rsidRPr="002F2A99">
              <w:t>complaints and appeals policy and procedure</w:t>
            </w:r>
          </w:p>
          <w:p w14:paraId="48952999" w14:textId="77777777" w:rsidR="001D1554" w:rsidRPr="002F2A99" w:rsidRDefault="001D1554" w:rsidP="001D1554">
            <w:pPr>
              <w:pStyle w:val="Bullet1"/>
              <w:spacing w:before="60" w:after="60"/>
              <w:contextualSpacing/>
            </w:pPr>
            <w:r w:rsidRPr="002F2A99">
              <w:t>information on how to lodge a complaint, as well as appeal avenues, both internal and external and links to the relevant policy and procedures</w:t>
            </w:r>
          </w:p>
          <w:p w14:paraId="1D69B710" w14:textId="77777777" w:rsidR="001D1554" w:rsidRPr="002F2A99" w:rsidRDefault="001D1554" w:rsidP="001D1554">
            <w:pPr>
              <w:pStyle w:val="Bullet1"/>
              <w:spacing w:before="60" w:after="60"/>
              <w:contextualSpacing/>
            </w:pPr>
            <w:r w:rsidRPr="002F2A99">
              <w:t>relevant committee meeting agendas and reports on complaints and/or appeals</w:t>
            </w:r>
          </w:p>
          <w:p w14:paraId="5DBB6625" w14:textId="075C0486" w:rsidR="001D1554" w:rsidRPr="00BF1EB7" w:rsidRDefault="001D1554" w:rsidP="001D1554">
            <w:pPr>
              <w:pStyle w:val="Bullet1"/>
              <w:spacing w:before="60" w:after="60"/>
              <w:contextualSpacing/>
            </w:pPr>
            <w:r w:rsidRPr="002F2A99">
              <w:t>letter templates and examples of correspondence used to advise students of outcomes of complaints and appeals.</w:t>
            </w:r>
          </w:p>
        </w:tc>
        <w:tc>
          <w:tcPr>
            <w:tcW w:w="3685" w:type="dxa"/>
          </w:tcPr>
          <w:p w14:paraId="794A7693" w14:textId="77777777" w:rsidR="001D1554" w:rsidRPr="002F2A99" w:rsidRDefault="001D1554" w:rsidP="001D1554">
            <w:pPr>
              <w:pStyle w:val="Bullet1"/>
              <w:spacing w:before="60" w:after="60"/>
              <w:contextualSpacing/>
            </w:pPr>
            <w:r w:rsidRPr="002F2A99">
              <w:t>Sample valid number of student files involved in a complaint, internal and external appeal.</w:t>
            </w:r>
          </w:p>
          <w:p w14:paraId="38B3DD23" w14:textId="77777777" w:rsidR="001D1554" w:rsidRPr="002F2A99" w:rsidRDefault="001D1554" w:rsidP="001D1554">
            <w:pPr>
              <w:pStyle w:val="Bullet1"/>
              <w:spacing w:before="60" w:after="60"/>
              <w:contextualSpacing/>
            </w:pPr>
            <w:r w:rsidRPr="002F2A99">
              <w:t>Complaints and appeals register that record outcomes.</w:t>
            </w:r>
          </w:p>
        </w:tc>
      </w:tr>
      <w:tr w:rsidR="001D1554" w:rsidRPr="002F2A99" w14:paraId="43126EC1" w14:textId="77777777" w:rsidTr="001D1554">
        <w:tc>
          <w:tcPr>
            <w:tcW w:w="9209" w:type="dxa"/>
            <w:gridSpan w:val="2"/>
            <w:shd w:val="clear" w:color="auto" w:fill="004E7D"/>
          </w:tcPr>
          <w:p w14:paraId="359C2A60" w14:textId="1512DC72" w:rsidR="001D1554" w:rsidRPr="001D1554" w:rsidRDefault="001D1554" w:rsidP="001D1554">
            <w:pPr>
              <w:pStyle w:val="Bullet1"/>
              <w:numPr>
                <w:ilvl w:val="0"/>
                <w:numId w:val="0"/>
              </w:numPr>
              <w:ind w:left="284" w:hanging="284"/>
              <w:rPr>
                <w:color w:val="FFFFFF" w:themeColor="background1"/>
              </w:rPr>
            </w:pPr>
            <w:r w:rsidRPr="001D1554">
              <w:rPr>
                <w:b/>
                <w:bCs/>
                <w:color w:val="FFFFFF" w:themeColor="background1"/>
              </w:rPr>
              <w:t>Standard 11</w:t>
            </w:r>
          </w:p>
        </w:tc>
      </w:tr>
      <w:tr w:rsidR="001D1554" w:rsidRPr="002F2A99" w14:paraId="0666CEFC" w14:textId="77777777" w:rsidTr="001D1554">
        <w:tc>
          <w:tcPr>
            <w:tcW w:w="5524" w:type="dxa"/>
          </w:tcPr>
          <w:p w14:paraId="67B03C7E" w14:textId="77777777" w:rsidR="001D1554" w:rsidRPr="002F2A99" w:rsidRDefault="001D1554" w:rsidP="001D1554">
            <w:pPr>
              <w:spacing w:before="60" w:after="60"/>
              <w:contextualSpacing/>
            </w:pPr>
            <w:r w:rsidRPr="002F2A99">
              <w:t>Policy and procedures to govern course design and delivery in alignment with requirements relating to third-party provider arrangements (TPA), mode of study, including limitations on online and work-based learning, course duration, full-time study load and the management of student capacity:</w:t>
            </w:r>
          </w:p>
          <w:p w14:paraId="6F0DAEF2" w14:textId="77777777" w:rsidR="001D1554" w:rsidRPr="002F2A99" w:rsidRDefault="001D1554" w:rsidP="001D1554">
            <w:pPr>
              <w:pStyle w:val="Bullet1"/>
              <w:spacing w:before="60" w:after="60"/>
              <w:contextualSpacing/>
            </w:pPr>
            <w:r w:rsidRPr="002F2A99">
              <w:t>TPA service agreements</w:t>
            </w:r>
          </w:p>
          <w:p w14:paraId="7AFD7FCF" w14:textId="77777777" w:rsidR="001D1554" w:rsidRPr="002F2A99" w:rsidRDefault="001D1554" w:rsidP="001D1554">
            <w:pPr>
              <w:pStyle w:val="Bullet1"/>
              <w:spacing w:before="60" w:after="60"/>
              <w:contextualSpacing/>
            </w:pPr>
            <w:r w:rsidRPr="002F2A99">
              <w:t>course design and delivery guidelines</w:t>
            </w:r>
          </w:p>
          <w:p w14:paraId="6A1D18D0" w14:textId="77777777" w:rsidR="001D1554" w:rsidRPr="002F2A99" w:rsidRDefault="001D1554" w:rsidP="001D1554">
            <w:pPr>
              <w:pStyle w:val="Bullet1"/>
              <w:spacing w:before="60" w:after="60"/>
              <w:contextualSpacing/>
            </w:pPr>
            <w:r w:rsidRPr="002F2A99">
              <w:t>Academic Board Committee agendas and minutes for consistent delivery of accredited courses by third-party providers including the provision of suitable resources and facilities</w:t>
            </w:r>
          </w:p>
          <w:p w14:paraId="3C33275C" w14:textId="42B3C185" w:rsidR="001D1554" w:rsidRPr="002F2A99" w:rsidRDefault="001D1554" w:rsidP="001D1554">
            <w:pPr>
              <w:pStyle w:val="Bullet1"/>
              <w:spacing w:before="60" w:after="60"/>
              <w:contextualSpacing/>
            </w:pPr>
            <w:r w:rsidRPr="002F2A99">
              <w:t>process for assessing and monitoring the maximum number of overseas students at each location.</w:t>
            </w:r>
          </w:p>
        </w:tc>
        <w:tc>
          <w:tcPr>
            <w:tcW w:w="3685" w:type="dxa"/>
          </w:tcPr>
          <w:p w14:paraId="1179BD7B" w14:textId="77777777" w:rsidR="001D1554" w:rsidRPr="002F2A99" w:rsidRDefault="001D1554" w:rsidP="001D1554">
            <w:pPr>
              <w:pStyle w:val="Bullet1"/>
              <w:spacing w:before="60" w:after="60"/>
              <w:contextualSpacing/>
            </w:pPr>
            <w:r w:rsidRPr="002F2A99">
              <w:t>reports on periodic internal reviews of third-party providers.</w:t>
            </w:r>
          </w:p>
        </w:tc>
      </w:tr>
    </w:tbl>
    <w:p w14:paraId="4FDB3E54" w14:textId="1F014B79" w:rsidR="00D472D7" w:rsidRDefault="00D472D7" w:rsidP="00D472D7">
      <w:pPr>
        <w:pStyle w:val="Heading3"/>
      </w:pPr>
      <w:r>
        <w:t>Document history</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1985"/>
        <w:gridCol w:w="6015"/>
      </w:tblGrid>
      <w:tr w:rsidR="005601EB" w:rsidRPr="002F2A99" w14:paraId="212998E1" w14:textId="77777777" w:rsidTr="002763F2">
        <w:trPr>
          <w:trHeight w:val="389"/>
        </w:trPr>
        <w:tc>
          <w:tcPr>
            <w:tcW w:w="1242" w:type="dxa"/>
            <w:shd w:val="clear" w:color="auto" w:fill="002060"/>
          </w:tcPr>
          <w:p w14:paraId="548EB976" w14:textId="77777777" w:rsidR="005601EB" w:rsidRPr="002F2A99" w:rsidRDefault="005601EB" w:rsidP="002763F2">
            <w:pPr>
              <w:spacing w:before="60"/>
              <w:rPr>
                <w:color w:val="FFFFFF"/>
              </w:rPr>
            </w:pPr>
            <w:r w:rsidRPr="002F2A99">
              <w:rPr>
                <w:color w:val="FFFFFF"/>
              </w:rPr>
              <w:t>Version #</w:t>
            </w:r>
          </w:p>
        </w:tc>
        <w:tc>
          <w:tcPr>
            <w:tcW w:w="1985" w:type="dxa"/>
            <w:shd w:val="clear" w:color="auto" w:fill="002060"/>
          </w:tcPr>
          <w:p w14:paraId="026DB432" w14:textId="77777777" w:rsidR="005601EB" w:rsidRPr="002F2A99" w:rsidRDefault="005601EB" w:rsidP="002763F2">
            <w:pPr>
              <w:spacing w:before="60"/>
              <w:rPr>
                <w:color w:val="FFFFFF"/>
              </w:rPr>
            </w:pPr>
            <w:r w:rsidRPr="002F2A99">
              <w:rPr>
                <w:color w:val="FFFFFF"/>
              </w:rPr>
              <w:t>Date</w:t>
            </w:r>
          </w:p>
        </w:tc>
        <w:tc>
          <w:tcPr>
            <w:tcW w:w="6015" w:type="dxa"/>
            <w:shd w:val="clear" w:color="auto" w:fill="002060"/>
          </w:tcPr>
          <w:p w14:paraId="45A68ADA" w14:textId="77777777" w:rsidR="005601EB" w:rsidRPr="002F2A99" w:rsidRDefault="005601EB" w:rsidP="002763F2">
            <w:pPr>
              <w:spacing w:before="60"/>
              <w:rPr>
                <w:color w:val="FFFFFF"/>
              </w:rPr>
            </w:pPr>
            <w:r w:rsidRPr="002F2A99">
              <w:rPr>
                <w:color w:val="FFFFFF"/>
              </w:rPr>
              <w:t>Key changes</w:t>
            </w:r>
          </w:p>
        </w:tc>
      </w:tr>
      <w:tr w:rsidR="005601EB" w:rsidRPr="002F2A99" w14:paraId="42EF798E" w14:textId="77777777" w:rsidTr="002763F2">
        <w:trPr>
          <w:trHeight w:val="564"/>
        </w:trPr>
        <w:tc>
          <w:tcPr>
            <w:tcW w:w="1242" w:type="dxa"/>
          </w:tcPr>
          <w:p w14:paraId="53DAA563" w14:textId="77777777" w:rsidR="005601EB" w:rsidRPr="002F2A99" w:rsidRDefault="005601EB" w:rsidP="002763F2">
            <w:pPr>
              <w:spacing w:before="60" w:after="60"/>
              <w:rPr>
                <w:sz w:val="20"/>
                <w:szCs w:val="20"/>
              </w:rPr>
            </w:pPr>
            <w:r w:rsidRPr="002F2A99">
              <w:rPr>
                <w:sz w:val="20"/>
                <w:szCs w:val="20"/>
              </w:rPr>
              <w:t>1.0</w:t>
            </w:r>
          </w:p>
        </w:tc>
        <w:tc>
          <w:tcPr>
            <w:tcW w:w="1985" w:type="dxa"/>
          </w:tcPr>
          <w:p w14:paraId="0607A2E8" w14:textId="23656CC6" w:rsidR="005601EB" w:rsidRPr="002F2A99" w:rsidRDefault="00D92044" w:rsidP="002763F2">
            <w:pPr>
              <w:spacing w:before="60" w:after="60"/>
              <w:rPr>
                <w:sz w:val="20"/>
                <w:szCs w:val="20"/>
              </w:rPr>
            </w:pPr>
            <w:r w:rsidRPr="00D92044">
              <w:rPr>
                <w:sz w:val="20"/>
                <w:szCs w:val="20"/>
              </w:rPr>
              <w:t>14</w:t>
            </w:r>
            <w:r w:rsidR="005601EB" w:rsidRPr="00D92044">
              <w:rPr>
                <w:sz w:val="20"/>
                <w:szCs w:val="20"/>
              </w:rPr>
              <w:t xml:space="preserve"> </w:t>
            </w:r>
            <w:r w:rsidR="00D472D7" w:rsidRPr="00D92044">
              <w:rPr>
                <w:sz w:val="20"/>
                <w:szCs w:val="20"/>
              </w:rPr>
              <w:t>October</w:t>
            </w:r>
            <w:r w:rsidR="005601EB" w:rsidRPr="00D92044">
              <w:rPr>
                <w:sz w:val="20"/>
                <w:szCs w:val="20"/>
              </w:rPr>
              <w:t xml:space="preserve"> 2022</w:t>
            </w:r>
          </w:p>
        </w:tc>
        <w:tc>
          <w:tcPr>
            <w:tcW w:w="6015" w:type="dxa"/>
          </w:tcPr>
          <w:p w14:paraId="6E014CE2" w14:textId="35D78111" w:rsidR="005601EB" w:rsidRPr="002F2A99" w:rsidRDefault="005601EB" w:rsidP="002763F2">
            <w:pPr>
              <w:spacing w:before="60" w:after="60"/>
              <w:rPr>
                <w:sz w:val="20"/>
                <w:szCs w:val="20"/>
              </w:rPr>
            </w:pPr>
          </w:p>
        </w:tc>
      </w:tr>
    </w:tbl>
    <w:p w14:paraId="4623555D" w14:textId="6607A5F7" w:rsidR="005601EB" w:rsidRPr="006F6E1D" w:rsidRDefault="006F6E1D" w:rsidP="006F6E1D">
      <w:pPr>
        <w:spacing w:before="0" w:after="0"/>
        <w:rPr>
          <w:sz w:val="2"/>
          <w:szCs w:val="2"/>
        </w:rPr>
      </w:pPr>
      <w:r>
        <w:rPr>
          <w:sz w:val="2"/>
          <w:szCs w:val="2"/>
        </w:rPr>
        <w:t>a</w:t>
      </w:r>
    </w:p>
    <w:sectPr w:rsidR="005601EB" w:rsidRPr="006F6E1D" w:rsidSect="00D472D7">
      <w:headerReference w:type="default" r:id="rId12"/>
      <w:footerReference w:type="default" r:id="rId13"/>
      <w:headerReference w:type="first" r:id="rId14"/>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3EED" w14:textId="77777777" w:rsidR="00D65C30" w:rsidRDefault="00D65C30" w:rsidP="00A47C2B">
      <w:r>
        <w:separator/>
      </w:r>
    </w:p>
  </w:endnote>
  <w:endnote w:type="continuationSeparator" w:id="0">
    <w:p w14:paraId="069827E6" w14:textId="77777777" w:rsidR="00D65C30" w:rsidRDefault="00D65C30" w:rsidP="00A4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930592"/>
      <w:docPartObj>
        <w:docPartGallery w:val="Page Numbers (Bottom of Page)"/>
        <w:docPartUnique/>
      </w:docPartObj>
    </w:sdtPr>
    <w:sdtEndPr>
      <w:rPr>
        <w:color w:val="002060"/>
      </w:rPr>
    </w:sdtEndPr>
    <w:sdtContent>
      <w:sdt>
        <w:sdtPr>
          <w:id w:val="860082579"/>
          <w:docPartObj>
            <w:docPartGallery w:val="Page Numbers (Top of Page)"/>
            <w:docPartUnique/>
          </w:docPartObj>
        </w:sdtPr>
        <w:sdtEndPr>
          <w:rPr>
            <w:color w:val="002060"/>
          </w:rPr>
        </w:sdtEndPr>
        <w:sdtContent>
          <w:p w14:paraId="3699666A" w14:textId="420A2029" w:rsidR="00FF2540" w:rsidRPr="00272323" w:rsidRDefault="00FF2540" w:rsidP="00A47C2B">
            <w:pPr>
              <w:pStyle w:val="Footer"/>
              <w:rPr>
                <w:color w:val="002060"/>
              </w:rPr>
            </w:pPr>
            <w:r w:rsidRPr="00272323">
              <w:rPr>
                <w:color w:val="002060"/>
              </w:rPr>
              <w:t xml:space="preserve">Page </w:t>
            </w:r>
            <w:r w:rsidRPr="00272323">
              <w:rPr>
                <w:color w:val="002060"/>
              </w:rPr>
              <w:fldChar w:fldCharType="begin"/>
            </w:r>
            <w:r w:rsidRPr="00272323">
              <w:rPr>
                <w:color w:val="002060"/>
              </w:rPr>
              <w:instrText xml:space="preserve"> PAGE </w:instrText>
            </w:r>
            <w:r w:rsidRPr="00272323">
              <w:rPr>
                <w:color w:val="002060"/>
              </w:rPr>
              <w:fldChar w:fldCharType="separate"/>
            </w:r>
            <w:r w:rsidR="00FD6E53" w:rsidRPr="00272323">
              <w:rPr>
                <w:noProof/>
                <w:color w:val="002060"/>
              </w:rPr>
              <w:t>1</w:t>
            </w:r>
            <w:r w:rsidRPr="00272323">
              <w:rPr>
                <w:color w:val="002060"/>
              </w:rPr>
              <w:fldChar w:fldCharType="end"/>
            </w:r>
            <w:r w:rsidRPr="00272323">
              <w:rPr>
                <w:color w:val="002060"/>
              </w:rPr>
              <w:t xml:space="preserve"> of </w:t>
            </w:r>
            <w:r w:rsidR="00272323" w:rsidRPr="00272323">
              <w:rPr>
                <w:color w:val="002060"/>
              </w:rPr>
              <w:fldChar w:fldCharType="begin"/>
            </w:r>
            <w:r w:rsidR="00272323" w:rsidRPr="00272323">
              <w:rPr>
                <w:color w:val="002060"/>
              </w:rPr>
              <w:instrText xml:space="preserve"> NUMPAGES  </w:instrText>
            </w:r>
            <w:r w:rsidR="00272323" w:rsidRPr="00272323">
              <w:rPr>
                <w:color w:val="002060"/>
              </w:rPr>
              <w:fldChar w:fldCharType="separate"/>
            </w:r>
            <w:r w:rsidR="00FD6E53" w:rsidRPr="00272323">
              <w:rPr>
                <w:noProof/>
                <w:color w:val="002060"/>
              </w:rPr>
              <w:t>1</w:t>
            </w:r>
            <w:r w:rsidR="00272323" w:rsidRPr="00272323">
              <w:rPr>
                <w:noProof/>
                <w:color w:val="002060"/>
              </w:rPr>
              <w:fldChar w:fldCharType="end"/>
            </w:r>
          </w:p>
        </w:sdtContent>
      </w:sdt>
    </w:sdtContent>
  </w:sdt>
  <w:p w14:paraId="35FAC9C0" w14:textId="77777777" w:rsidR="00FF2540" w:rsidRDefault="00FF2540" w:rsidP="00A47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CB39" w14:textId="77777777" w:rsidR="00D65C30" w:rsidRDefault="00D65C30" w:rsidP="00A47C2B">
      <w:r>
        <w:separator/>
      </w:r>
    </w:p>
  </w:footnote>
  <w:footnote w:type="continuationSeparator" w:id="0">
    <w:p w14:paraId="7C510F8A" w14:textId="77777777" w:rsidR="00D65C30" w:rsidRDefault="00D65C30" w:rsidP="00A47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693A" w14:textId="77777777" w:rsidR="00D472D7" w:rsidRDefault="00D472D7" w:rsidP="00D472D7">
    <w:pPr>
      <w:pStyle w:val="Header"/>
    </w:pPr>
  </w:p>
  <w:p w14:paraId="0A3226E3" w14:textId="1A672BB2" w:rsidR="00D472D7" w:rsidRDefault="00D472D7">
    <w:pPr>
      <w:pStyle w:val="Header"/>
      <w:rPr>
        <w:noProof/>
        <w:lang w:eastAsia="en-AU"/>
      </w:rPr>
    </w:pPr>
    <w:r>
      <w:rPr>
        <w:noProof/>
        <w:lang w:eastAsia="en-AU"/>
      </w:rPr>
      <w:t xml:space="preserve"> </w:t>
    </w:r>
    <w:r>
      <w:rPr>
        <w:noProof/>
        <w:lang w:eastAsia="en-AU"/>
      </w:rPr>
      <w:drawing>
        <wp:inline distT="0" distB="0" distL="0" distR="0" wp14:anchorId="081121CC" wp14:editId="144A436A">
          <wp:extent cx="3201629" cy="857250"/>
          <wp:effectExtent l="0" t="0" r="0" b="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b="-79999"/>
                  <a:stretch/>
                </pic:blipFill>
                <pic:spPr bwMode="auto">
                  <a:xfrm>
                    <a:off x="0" y="0"/>
                    <a:ext cx="3205353" cy="85824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tab/>
    </w:r>
    <w:r>
      <w:rPr>
        <w:noProof/>
        <w:lang w:eastAsia="en-AU"/>
      </w:rPr>
      <w:drawing>
        <wp:inline distT="0" distB="0" distL="0" distR="0" wp14:anchorId="0008E4BF" wp14:editId="703C1F71">
          <wp:extent cx="1424305" cy="733425"/>
          <wp:effectExtent l="0" t="0" r="4445"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 b="-107759"/>
                  <a:stretch/>
                </pic:blipFill>
                <pic:spPr bwMode="auto">
                  <a:xfrm>
                    <a:off x="0" y="0"/>
                    <a:ext cx="1425274" cy="733924"/>
                  </a:xfrm>
                  <a:prstGeom prst="rect">
                    <a:avLst/>
                  </a:prstGeom>
                  <a:noFill/>
                  <a:ln>
                    <a:noFill/>
                  </a:ln>
                  <a:extLst>
                    <a:ext uri="{53640926-AAD7-44D8-BBD7-CCE9431645EC}">
                      <a14:shadowObscured xmlns:a14="http://schemas.microsoft.com/office/drawing/2010/main"/>
                    </a:ext>
                  </a:extLst>
                </pic:spPr>
              </pic:pic>
            </a:graphicData>
          </a:graphic>
        </wp:inline>
      </w:drawing>
    </w:r>
  </w:p>
  <w:p w14:paraId="38BB00E3" w14:textId="77777777" w:rsidR="00D472D7" w:rsidRDefault="00D472D7">
    <w:pPr>
      <w:pStyle w:val="Header"/>
      <w:rPr>
        <w:noProof/>
        <w:lang w:eastAsia="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2F5C" w14:textId="77777777" w:rsidR="00835AA1" w:rsidRDefault="00835AA1" w:rsidP="00A47C2B">
    <w:pPr>
      <w:pStyle w:val="Header"/>
    </w:pPr>
  </w:p>
  <w:p w14:paraId="3C24A015" w14:textId="77777777" w:rsidR="00835AA1" w:rsidRPr="006C328D" w:rsidRDefault="00835AA1" w:rsidP="00A47C2B">
    <w:pPr>
      <w:pStyle w:val="Header"/>
      <w:rPr>
        <w:noProof/>
        <w:lang w:eastAsia="en-AU"/>
      </w:rPr>
    </w:pPr>
    <w:r>
      <w:rPr>
        <w:noProof/>
        <w:lang w:eastAsia="en-AU"/>
      </w:rPr>
      <w:t xml:space="preserve"> </w:t>
    </w:r>
    <w:r>
      <w:rPr>
        <w:noProof/>
        <w:lang w:eastAsia="en-AU"/>
      </w:rPr>
      <w:drawing>
        <wp:inline distT="0" distB="0" distL="0" distR="0" wp14:anchorId="641E204A" wp14:editId="0C9BDADE">
          <wp:extent cx="3201629" cy="85725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b="-79999"/>
                  <a:stretch/>
                </pic:blipFill>
                <pic:spPr bwMode="auto">
                  <a:xfrm>
                    <a:off x="0" y="0"/>
                    <a:ext cx="3205353" cy="85824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tab/>
    </w:r>
    <w:r>
      <w:rPr>
        <w:noProof/>
        <w:lang w:eastAsia="en-AU"/>
      </w:rPr>
      <w:drawing>
        <wp:inline distT="0" distB="0" distL="0" distR="0" wp14:anchorId="3E4566E4" wp14:editId="7ABE017C">
          <wp:extent cx="1424305" cy="733425"/>
          <wp:effectExtent l="0" t="0" r="4445"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 b="-107759"/>
                  <a:stretch/>
                </pic:blipFill>
                <pic:spPr bwMode="auto">
                  <a:xfrm>
                    <a:off x="0" y="0"/>
                    <a:ext cx="1425274" cy="733924"/>
                  </a:xfrm>
                  <a:prstGeom prst="rect">
                    <a:avLst/>
                  </a:prstGeom>
                  <a:noFill/>
                  <a:ln>
                    <a:noFill/>
                  </a:ln>
                  <a:extLst>
                    <a:ext uri="{53640926-AAD7-44D8-BBD7-CCE9431645EC}">
                      <a14:shadowObscured xmlns:a14="http://schemas.microsoft.com/office/drawing/2010/main"/>
                    </a:ext>
                  </a:extLst>
                </pic:spPr>
              </pic:pic>
            </a:graphicData>
          </a:graphic>
        </wp:inline>
      </w:drawing>
    </w:r>
  </w:p>
  <w:p w14:paraId="3F2FA47E" w14:textId="77777777" w:rsidR="00835AA1" w:rsidRDefault="00835AA1" w:rsidP="00A47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0C10D55"/>
    <w:multiLevelType w:val="hybridMultilevel"/>
    <w:tmpl w:val="30BC19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524B0"/>
    <w:multiLevelType w:val="hybridMultilevel"/>
    <w:tmpl w:val="4EE4F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15555"/>
    <w:multiLevelType w:val="hybridMultilevel"/>
    <w:tmpl w:val="C762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4779C"/>
    <w:multiLevelType w:val="hybridMultilevel"/>
    <w:tmpl w:val="F0A22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E541A5"/>
    <w:multiLevelType w:val="multilevel"/>
    <w:tmpl w:val="63D68E2A"/>
    <w:lvl w:ilvl="0">
      <w:start w:val="1"/>
      <w:numFmt w:val="bullet"/>
      <w:pStyle w:val="Bullet1"/>
      <w:lvlText w:val=""/>
      <w:lvlJc w:val="left"/>
      <w:pPr>
        <w:ind w:left="284" w:hanging="284"/>
      </w:pPr>
      <w:rPr>
        <w:rFonts w:ascii="Symbol" w:hAnsi="Symbol" w:hint="default"/>
        <w:color w:val="004E7D"/>
      </w:rPr>
    </w:lvl>
    <w:lvl w:ilvl="1">
      <w:start w:val="1"/>
      <w:numFmt w:val="bullet"/>
      <w:lvlText w:val="–"/>
      <w:lvlJc w:val="left"/>
      <w:pPr>
        <w:ind w:left="568" w:hanging="284"/>
      </w:pPr>
      <w:rPr>
        <w:rFonts w:ascii="Arial" w:hAnsi="Arial" w:hint="default"/>
        <w:color w:val="00847E" w:themeColor="accent1"/>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2263702"/>
    <w:multiLevelType w:val="hybridMultilevel"/>
    <w:tmpl w:val="0C685A00"/>
    <w:lvl w:ilvl="0" w:tplc="9D403CF8">
      <w:start w:val="1"/>
      <w:numFmt w:val="bullet"/>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1761EE"/>
    <w:multiLevelType w:val="multilevel"/>
    <w:tmpl w:val="E96EA27E"/>
    <w:lvl w:ilvl="0">
      <w:start w:val="1"/>
      <w:numFmt w:val="decimal"/>
      <w:pStyle w:val="TableTitle"/>
      <w:lvlText w:val="Table %1."/>
      <w:lvlJc w:val="left"/>
      <w:pPr>
        <w:ind w:left="1134" w:hanging="1134"/>
      </w:pPr>
      <w:rPr>
        <w:rFonts w:hint="default"/>
        <w:b w:val="0"/>
        <w:i w:val="0"/>
        <w:caps w:val="0"/>
        <w:color w:val="004E7D"/>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131444"/>
    <w:multiLevelType w:val="hybridMultilevel"/>
    <w:tmpl w:val="35BA7D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F43E1D"/>
    <w:multiLevelType w:val="hybridMultilevel"/>
    <w:tmpl w:val="73724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5A332E"/>
    <w:multiLevelType w:val="multilevel"/>
    <w:tmpl w:val="94C85D9A"/>
    <w:lvl w:ilvl="0">
      <w:start w:val="1"/>
      <w:numFmt w:val="bullet"/>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4E7D"/>
      </w:rPr>
    </w:lvl>
    <w:lvl w:ilvl="2">
      <w:start w:val="1"/>
      <w:numFmt w:val="bullet"/>
      <w:pStyle w:val="Bullet3"/>
      <w:lvlText w:val="»"/>
      <w:lvlJc w:val="left"/>
      <w:pPr>
        <w:ind w:left="710" w:hanging="284"/>
      </w:pPr>
      <w:rPr>
        <w:rFonts w:ascii="Arial" w:hAnsi="Arial" w:hint="default"/>
        <w:color w:val="004E7D"/>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A824CC3"/>
    <w:multiLevelType w:val="hybridMultilevel"/>
    <w:tmpl w:val="372AB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FB5C7F"/>
    <w:multiLevelType w:val="hybridMultilevel"/>
    <w:tmpl w:val="FE2ED92E"/>
    <w:lvl w:ilvl="0" w:tplc="9D403CF8">
      <w:start w:val="1"/>
      <w:numFmt w:val="bullet"/>
      <w:lvlText w:val=""/>
      <w:lvlJc w:val="left"/>
      <w:pPr>
        <w:ind w:left="720" w:hanging="360"/>
      </w:pPr>
      <w:rPr>
        <w:rFonts w:ascii="Symbol" w:hAnsi="Symbol" w:hint="default"/>
        <w:color w:val="004E7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AD73B9"/>
    <w:multiLevelType w:val="hybridMultilevel"/>
    <w:tmpl w:val="BABC593C"/>
    <w:lvl w:ilvl="0" w:tplc="9D403CF8">
      <w:start w:val="1"/>
      <w:numFmt w:val="bullet"/>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F854EC"/>
    <w:multiLevelType w:val="hybridMultilevel"/>
    <w:tmpl w:val="B3402C1A"/>
    <w:lvl w:ilvl="0" w:tplc="9D403CF8">
      <w:start w:val="1"/>
      <w:numFmt w:val="bullet"/>
      <w:lvlText w:val=""/>
      <w:lvlJc w:val="left"/>
      <w:pPr>
        <w:ind w:left="720" w:hanging="360"/>
      </w:pPr>
      <w:rPr>
        <w:rFonts w:ascii="Symbol" w:hAnsi="Symbol" w:hint="default"/>
        <w:color w:val="004E7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083EFC"/>
    <w:multiLevelType w:val="hybridMultilevel"/>
    <w:tmpl w:val="F97ED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E669F5"/>
    <w:multiLevelType w:val="hybridMultilevel"/>
    <w:tmpl w:val="76C61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202684"/>
    <w:multiLevelType w:val="hybridMultilevel"/>
    <w:tmpl w:val="B9384B42"/>
    <w:lvl w:ilvl="0" w:tplc="9D403CF8">
      <w:start w:val="1"/>
      <w:numFmt w:val="bullet"/>
      <w:lvlText w:val=""/>
      <w:lvlJc w:val="left"/>
      <w:pPr>
        <w:ind w:left="720" w:hanging="360"/>
      </w:pPr>
      <w:rPr>
        <w:rFonts w:ascii="Symbol" w:hAnsi="Symbol" w:hint="default"/>
        <w:color w:val="004E7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102D12"/>
    <w:multiLevelType w:val="hybridMultilevel"/>
    <w:tmpl w:val="23968F04"/>
    <w:lvl w:ilvl="0" w:tplc="30AA4740">
      <w:start w:val="1"/>
      <w:numFmt w:val="bullet"/>
      <w:pStyle w:val="Bullet-In-Table"/>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4921B6"/>
    <w:multiLevelType w:val="hybridMultilevel"/>
    <w:tmpl w:val="0776A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7F7F2F"/>
    <w:multiLevelType w:val="hybridMultilevel"/>
    <w:tmpl w:val="15C46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283B55"/>
    <w:multiLevelType w:val="multilevel"/>
    <w:tmpl w:val="2A22B136"/>
    <w:lvl w:ilvl="0">
      <w:start w:val="1"/>
      <w:numFmt w:val="decimal"/>
      <w:pStyle w:val="FigureTitle"/>
      <w:lvlText w:val="Figure %1."/>
      <w:lvlJc w:val="left"/>
      <w:pPr>
        <w:ind w:left="1134" w:hanging="1134"/>
      </w:pPr>
      <w:rPr>
        <w:rFonts w:hint="default"/>
        <w:b w:val="0"/>
        <w:i w:val="0"/>
        <w:caps w:val="0"/>
        <w:color w:val="004E7D"/>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E343E9"/>
    <w:multiLevelType w:val="hybridMultilevel"/>
    <w:tmpl w:val="EFB6A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4571C1"/>
    <w:multiLevelType w:val="hybridMultilevel"/>
    <w:tmpl w:val="B1FED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B625C3"/>
    <w:multiLevelType w:val="hybridMultilevel"/>
    <w:tmpl w:val="E1FAF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401194"/>
    <w:multiLevelType w:val="hybridMultilevel"/>
    <w:tmpl w:val="176AA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9C1F08"/>
    <w:multiLevelType w:val="multilevel"/>
    <w:tmpl w:val="6DC6B1AA"/>
    <w:lvl w:ilvl="0">
      <w:start w:val="1"/>
      <w:numFmt w:val="bullet"/>
      <w:lvlText w:val=""/>
      <w:lvlJc w:val="left"/>
      <w:pPr>
        <w:ind w:left="284" w:hanging="284"/>
      </w:pPr>
      <w:rPr>
        <w:rFonts w:ascii="Symbol" w:hAnsi="Symbol" w:hint="default"/>
        <w:color w:val="00847E" w:themeColor="accent1"/>
      </w:rPr>
    </w:lvl>
    <w:lvl w:ilvl="1">
      <w:start w:val="1"/>
      <w:numFmt w:val="bullet"/>
      <w:lvlText w:val=""/>
      <w:lvlJc w:val="left"/>
      <w:pPr>
        <w:ind w:left="568" w:hanging="284"/>
      </w:pPr>
      <w:rPr>
        <w:rFonts w:ascii="Symbol" w:hAnsi="Symbol" w:hint="default"/>
        <w:color w:val="004E7D"/>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35C6865"/>
    <w:multiLevelType w:val="hybridMultilevel"/>
    <w:tmpl w:val="4FCE1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4" w15:restartNumberingAfterBreak="0">
    <w:nsid w:val="79601986"/>
    <w:multiLevelType w:val="hybridMultilevel"/>
    <w:tmpl w:val="9A265104"/>
    <w:lvl w:ilvl="0" w:tplc="9D403CF8">
      <w:start w:val="1"/>
      <w:numFmt w:val="bullet"/>
      <w:lvlText w:val=""/>
      <w:lvlJc w:val="left"/>
      <w:pPr>
        <w:ind w:left="720" w:hanging="360"/>
      </w:pPr>
      <w:rPr>
        <w:rFonts w:ascii="Symbol" w:hAnsi="Symbol" w:hint="default"/>
        <w:color w:val="004E7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AC26A9"/>
    <w:multiLevelType w:val="hybridMultilevel"/>
    <w:tmpl w:val="B0C87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56248020">
    <w:abstractNumId w:val="36"/>
  </w:num>
  <w:num w:numId="2" w16cid:durableId="1733236104">
    <w:abstractNumId w:val="33"/>
  </w:num>
  <w:num w:numId="3" w16cid:durableId="1089959203">
    <w:abstractNumId w:val="11"/>
  </w:num>
  <w:num w:numId="4" w16cid:durableId="290325751">
    <w:abstractNumId w:val="26"/>
  </w:num>
  <w:num w:numId="5" w16cid:durableId="1522089207">
    <w:abstractNumId w:val="25"/>
  </w:num>
  <w:num w:numId="6" w16cid:durableId="743258517">
    <w:abstractNumId w:val="23"/>
  </w:num>
  <w:num w:numId="7" w16cid:durableId="1371153072">
    <w:abstractNumId w:val="6"/>
  </w:num>
  <w:num w:numId="8" w16cid:durableId="481703697">
    <w:abstractNumId w:val="7"/>
  </w:num>
  <w:num w:numId="9" w16cid:durableId="431361276">
    <w:abstractNumId w:val="8"/>
  </w:num>
  <w:num w:numId="10" w16cid:durableId="969213471">
    <w:abstractNumId w:val="24"/>
  </w:num>
  <w:num w:numId="11" w16cid:durableId="600720537">
    <w:abstractNumId w:val="14"/>
  </w:num>
  <w:num w:numId="12" w16cid:durableId="631445574">
    <w:abstractNumId w:val="4"/>
  </w:num>
  <w:num w:numId="13" w16cid:durableId="1501119587">
    <w:abstractNumId w:val="31"/>
  </w:num>
  <w:num w:numId="14" w16cid:durableId="1982031343">
    <w:abstractNumId w:val="21"/>
  </w:num>
  <w:num w:numId="15" w16cid:durableId="1195735105">
    <w:abstractNumId w:val="32"/>
  </w:num>
  <w:num w:numId="16" w16cid:durableId="531038890">
    <w:abstractNumId w:val="3"/>
  </w:num>
  <w:num w:numId="17" w16cid:durableId="1655641227">
    <w:abstractNumId w:val="29"/>
  </w:num>
  <w:num w:numId="18" w16cid:durableId="1133599871">
    <w:abstractNumId w:val="18"/>
  </w:num>
  <w:num w:numId="19" w16cid:durableId="838353198">
    <w:abstractNumId w:val="17"/>
  </w:num>
  <w:num w:numId="20" w16cid:durableId="955136690">
    <w:abstractNumId w:val="2"/>
  </w:num>
  <w:num w:numId="21" w16cid:durableId="257098887">
    <w:abstractNumId w:val="12"/>
  </w:num>
  <w:num w:numId="22" w16cid:durableId="1737630104">
    <w:abstractNumId w:val="27"/>
  </w:num>
  <w:num w:numId="23" w16cid:durableId="1836453320">
    <w:abstractNumId w:val="28"/>
  </w:num>
  <w:num w:numId="24" w16cid:durableId="1700932815">
    <w:abstractNumId w:val="22"/>
  </w:num>
  <w:num w:numId="25" w16cid:durableId="1303344994">
    <w:abstractNumId w:val="1"/>
  </w:num>
  <w:num w:numId="26" w16cid:durableId="746993950">
    <w:abstractNumId w:val="30"/>
  </w:num>
  <w:num w:numId="27" w16cid:durableId="2052611391">
    <w:abstractNumId w:val="35"/>
  </w:num>
  <w:num w:numId="28" w16cid:durableId="92435762">
    <w:abstractNumId w:val="10"/>
  </w:num>
  <w:num w:numId="29" w16cid:durableId="1219047528">
    <w:abstractNumId w:val="9"/>
  </w:num>
  <w:num w:numId="30" w16cid:durableId="1426532164">
    <w:abstractNumId w:val="0"/>
  </w:num>
  <w:num w:numId="31" w16cid:durableId="1201742231">
    <w:abstractNumId w:val="19"/>
  </w:num>
  <w:num w:numId="32" w16cid:durableId="806623508">
    <w:abstractNumId w:val="20"/>
  </w:num>
  <w:num w:numId="33" w16cid:durableId="937178427">
    <w:abstractNumId w:val="16"/>
  </w:num>
  <w:num w:numId="34" w16cid:durableId="1117213357">
    <w:abstractNumId w:val="34"/>
  </w:num>
  <w:num w:numId="35" w16cid:durableId="996033493">
    <w:abstractNumId w:val="13"/>
  </w:num>
  <w:num w:numId="36" w16cid:durableId="89545481">
    <w:abstractNumId w:val="15"/>
  </w:num>
  <w:num w:numId="37" w16cid:durableId="91390380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54A6"/>
    <w:rsid w:val="00023412"/>
    <w:rsid w:val="00024D20"/>
    <w:rsid w:val="00050348"/>
    <w:rsid w:val="000526F6"/>
    <w:rsid w:val="00054E15"/>
    <w:rsid w:val="0006768E"/>
    <w:rsid w:val="0008505A"/>
    <w:rsid w:val="000A09F1"/>
    <w:rsid w:val="000B2ADF"/>
    <w:rsid w:val="001036C1"/>
    <w:rsid w:val="00117B26"/>
    <w:rsid w:val="00117BDF"/>
    <w:rsid w:val="00124C41"/>
    <w:rsid w:val="00141D08"/>
    <w:rsid w:val="00184398"/>
    <w:rsid w:val="001A3BC8"/>
    <w:rsid w:val="001B1A02"/>
    <w:rsid w:val="001B203E"/>
    <w:rsid w:val="001B650E"/>
    <w:rsid w:val="001C000D"/>
    <w:rsid w:val="001D1554"/>
    <w:rsid w:val="001D46BE"/>
    <w:rsid w:val="001E5450"/>
    <w:rsid w:val="001F1BF0"/>
    <w:rsid w:val="001F39F5"/>
    <w:rsid w:val="0020208D"/>
    <w:rsid w:val="00214F2C"/>
    <w:rsid w:val="0022605D"/>
    <w:rsid w:val="002409E3"/>
    <w:rsid w:val="0024335E"/>
    <w:rsid w:val="00264E96"/>
    <w:rsid w:val="00272323"/>
    <w:rsid w:val="00284135"/>
    <w:rsid w:val="002A0B31"/>
    <w:rsid w:val="002A77EB"/>
    <w:rsid w:val="002C2FAF"/>
    <w:rsid w:val="002D5BBA"/>
    <w:rsid w:val="002E6A53"/>
    <w:rsid w:val="002F2A99"/>
    <w:rsid w:val="00305311"/>
    <w:rsid w:val="00310F0F"/>
    <w:rsid w:val="00311FA9"/>
    <w:rsid w:val="003456FC"/>
    <w:rsid w:val="0035314D"/>
    <w:rsid w:val="0035475C"/>
    <w:rsid w:val="00372FB2"/>
    <w:rsid w:val="003773D8"/>
    <w:rsid w:val="00377FD2"/>
    <w:rsid w:val="00381A0F"/>
    <w:rsid w:val="003B190D"/>
    <w:rsid w:val="003B5FB8"/>
    <w:rsid w:val="003C32CC"/>
    <w:rsid w:val="003D00CB"/>
    <w:rsid w:val="003D1D2C"/>
    <w:rsid w:val="003E3BA7"/>
    <w:rsid w:val="003E40BA"/>
    <w:rsid w:val="003F262E"/>
    <w:rsid w:val="0040343B"/>
    <w:rsid w:val="004053A0"/>
    <w:rsid w:val="00405A63"/>
    <w:rsid w:val="00417E6F"/>
    <w:rsid w:val="00420110"/>
    <w:rsid w:val="00425B48"/>
    <w:rsid w:val="0043016F"/>
    <w:rsid w:val="004462E3"/>
    <w:rsid w:val="00450A9C"/>
    <w:rsid w:val="00462FEE"/>
    <w:rsid w:val="00470E01"/>
    <w:rsid w:val="00483D4F"/>
    <w:rsid w:val="00497389"/>
    <w:rsid w:val="004A2C99"/>
    <w:rsid w:val="004A57F2"/>
    <w:rsid w:val="004A6997"/>
    <w:rsid w:val="004B2FA9"/>
    <w:rsid w:val="004B6DA9"/>
    <w:rsid w:val="004C0765"/>
    <w:rsid w:val="004D2A1D"/>
    <w:rsid w:val="004E7E05"/>
    <w:rsid w:val="004F6AAF"/>
    <w:rsid w:val="005077A0"/>
    <w:rsid w:val="005376BB"/>
    <w:rsid w:val="005409CF"/>
    <w:rsid w:val="005521F7"/>
    <w:rsid w:val="00557514"/>
    <w:rsid w:val="005601EB"/>
    <w:rsid w:val="00561BDC"/>
    <w:rsid w:val="005642C0"/>
    <w:rsid w:val="005767A3"/>
    <w:rsid w:val="00584E6F"/>
    <w:rsid w:val="00594DC9"/>
    <w:rsid w:val="00595FCA"/>
    <w:rsid w:val="005B458E"/>
    <w:rsid w:val="005B6E23"/>
    <w:rsid w:val="005E51F7"/>
    <w:rsid w:val="005E7A0B"/>
    <w:rsid w:val="005F74EF"/>
    <w:rsid w:val="005F7E6A"/>
    <w:rsid w:val="00601C57"/>
    <w:rsid w:val="00644E3E"/>
    <w:rsid w:val="006655BF"/>
    <w:rsid w:val="006668F1"/>
    <w:rsid w:val="006767C8"/>
    <w:rsid w:val="00681822"/>
    <w:rsid w:val="006850B8"/>
    <w:rsid w:val="006A55A2"/>
    <w:rsid w:val="006C328D"/>
    <w:rsid w:val="006C7A2D"/>
    <w:rsid w:val="006D24C9"/>
    <w:rsid w:val="006D4FAA"/>
    <w:rsid w:val="006F42D6"/>
    <w:rsid w:val="006F6E1D"/>
    <w:rsid w:val="00702DCA"/>
    <w:rsid w:val="007178D7"/>
    <w:rsid w:val="00722062"/>
    <w:rsid w:val="00722F81"/>
    <w:rsid w:val="00736090"/>
    <w:rsid w:val="0074143D"/>
    <w:rsid w:val="00744706"/>
    <w:rsid w:val="00751551"/>
    <w:rsid w:val="007639A1"/>
    <w:rsid w:val="00776DDD"/>
    <w:rsid w:val="007832B5"/>
    <w:rsid w:val="00792113"/>
    <w:rsid w:val="007A2E9E"/>
    <w:rsid w:val="007A4EE1"/>
    <w:rsid w:val="007A75D4"/>
    <w:rsid w:val="007B01C8"/>
    <w:rsid w:val="007B139F"/>
    <w:rsid w:val="007C57E9"/>
    <w:rsid w:val="007E05C0"/>
    <w:rsid w:val="007E7028"/>
    <w:rsid w:val="007F78F7"/>
    <w:rsid w:val="00801162"/>
    <w:rsid w:val="0081494A"/>
    <w:rsid w:val="00835AA1"/>
    <w:rsid w:val="008402E0"/>
    <w:rsid w:val="00873FCC"/>
    <w:rsid w:val="00877B03"/>
    <w:rsid w:val="008A26BA"/>
    <w:rsid w:val="008B6878"/>
    <w:rsid w:val="008D0E21"/>
    <w:rsid w:val="008D7139"/>
    <w:rsid w:val="008E0B98"/>
    <w:rsid w:val="008F7517"/>
    <w:rsid w:val="00914081"/>
    <w:rsid w:val="00916350"/>
    <w:rsid w:val="00933C18"/>
    <w:rsid w:val="00951E9E"/>
    <w:rsid w:val="0095396C"/>
    <w:rsid w:val="00956C41"/>
    <w:rsid w:val="00971007"/>
    <w:rsid w:val="009745D9"/>
    <w:rsid w:val="009828C8"/>
    <w:rsid w:val="009B769E"/>
    <w:rsid w:val="009C6F1F"/>
    <w:rsid w:val="009D0F08"/>
    <w:rsid w:val="009D2A77"/>
    <w:rsid w:val="009E6619"/>
    <w:rsid w:val="00A01893"/>
    <w:rsid w:val="00A34B27"/>
    <w:rsid w:val="00A37AD6"/>
    <w:rsid w:val="00A47C2B"/>
    <w:rsid w:val="00A5696F"/>
    <w:rsid w:val="00A56F99"/>
    <w:rsid w:val="00A61413"/>
    <w:rsid w:val="00A65BC3"/>
    <w:rsid w:val="00A74B5D"/>
    <w:rsid w:val="00A803B6"/>
    <w:rsid w:val="00A83F19"/>
    <w:rsid w:val="00AA26D6"/>
    <w:rsid w:val="00AB5AB7"/>
    <w:rsid w:val="00AD6561"/>
    <w:rsid w:val="00AE0E3D"/>
    <w:rsid w:val="00AE40CE"/>
    <w:rsid w:val="00AF1FA2"/>
    <w:rsid w:val="00B200C3"/>
    <w:rsid w:val="00B3008E"/>
    <w:rsid w:val="00B521FA"/>
    <w:rsid w:val="00B5474A"/>
    <w:rsid w:val="00B644A7"/>
    <w:rsid w:val="00B812F2"/>
    <w:rsid w:val="00B87E66"/>
    <w:rsid w:val="00B92518"/>
    <w:rsid w:val="00BA0C70"/>
    <w:rsid w:val="00BC505A"/>
    <w:rsid w:val="00BD565C"/>
    <w:rsid w:val="00BF1AC4"/>
    <w:rsid w:val="00BF1EB7"/>
    <w:rsid w:val="00C029E7"/>
    <w:rsid w:val="00C11F2A"/>
    <w:rsid w:val="00C330B7"/>
    <w:rsid w:val="00C748C3"/>
    <w:rsid w:val="00C811D8"/>
    <w:rsid w:val="00C828DA"/>
    <w:rsid w:val="00C86D54"/>
    <w:rsid w:val="00C9520B"/>
    <w:rsid w:val="00CC50EB"/>
    <w:rsid w:val="00CD401D"/>
    <w:rsid w:val="00D01439"/>
    <w:rsid w:val="00D0777B"/>
    <w:rsid w:val="00D14F43"/>
    <w:rsid w:val="00D47247"/>
    <w:rsid w:val="00D472D7"/>
    <w:rsid w:val="00D63751"/>
    <w:rsid w:val="00D64821"/>
    <w:rsid w:val="00D65C30"/>
    <w:rsid w:val="00D717EC"/>
    <w:rsid w:val="00D92044"/>
    <w:rsid w:val="00DA23A7"/>
    <w:rsid w:val="00DA77CA"/>
    <w:rsid w:val="00DD3187"/>
    <w:rsid w:val="00DE6A33"/>
    <w:rsid w:val="00E03B7B"/>
    <w:rsid w:val="00E04DB0"/>
    <w:rsid w:val="00E05F55"/>
    <w:rsid w:val="00E12978"/>
    <w:rsid w:val="00E37624"/>
    <w:rsid w:val="00E76EFF"/>
    <w:rsid w:val="00E8250D"/>
    <w:rsid w:val="00E94096"/>
    <w:rsid w:val="00E978A9"/>
    <w:rsid w:val="00EB5C03"/>
    <w:rsid w:val="00EC2D20"/>
    <w:rsid w:val="00ED17F8"/>
    <w:rsid w:val="00EE272B"/>
    <w:rsid w:val="00EE37DD"/>
    <w:rsid w:val="00EF728C"/>
    <w:rsid w:val="00F22BCC"/>
    <w:rsid w:val="00F22E03"/>
    <w:rsid w:val="00F311C3"/>
    <w:rsid w:val="00F53315"/>
    <w:rsid w:val="00F762B7"/>
    <w:rsid w:val="00F84081"/>
    <w:rsid w:val="00F855B4"/>
    <w:rsid w:val="00F85C59"/>
    <w:rsid w:val="00F957E5"/>
    <w:rsid w:val="00FA3F46"/>
    <w:rsid w:val="00FA56D3"/>
    <w:rsid w:val="00FA6FA7"/>
    <w:rsid w:val="00FB030E"/>
    <w:rsid w:val="00FC098A"/>
    <w:rsid w:val="00FD2ADF"/>
    <w:rsid w:val="00FD6E53"/>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0EF32FF"/>
  <w15:docId w15:val="{55DE76BA-4093-4B02-966F-8DC83696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C2B"/>
    <w:rPr>
      <w:rFonts w:cstheme="minorHAnsi"/>
    </w:rPr>
  </w:style>
  <w:style w:type="paragraph" w:styleId="Heading1">
    <w:name w:val="heading 1"/>
    <w:basedOn w:val="Normal"/>
    <w:next w:val="Normal"/>
    <w:link w:val="Heading1Char"/>
    <w:uiPriority w:val="9"/>
    <w:qFormat/>
    <w:rsid w:val="00B87E66"/>
    <w:pPr>
      <w:keepNext/>
      <w:keepLines/>
      <w:pageBreakBefore/>
      <w:spacing w:before="0" w:after="1200" w:line="540" w:lineRule="atLeast"/>
      <w:outlineLvl w:val="0"/>
    </w:pPr>
    <w:rPr>
      <w:rFonts w:asciiTheme="majorHAnsi" w:eastAsiaTheme="majorEastAsia" w:hAnsiTheme="majorHAnsi" w:cstheme="majorBidi"/>
      <w:b/>
      <w:color w:val="004E7D"/>
      <w:sz w:val="48"/>
      <w:szCs w:val="32"/>
    </w:rPr>
  </w:style>
  <w:style w:type="paragraph" w:styleId="Heading2">
    <w:name w:val="heading 2"/>
    <w:basedOn w:val="Normal"/>
    <w:next w:val="Normal"/>
    <w:link w:val="Heading2Char"/>
    <w:uiPriority w:val="9"/>
    <w:qFormat/>
    <w:rsid w:val="005E51F7"/>
    <w:pPr>
      <w:keepNext/>
      <w:keepLines/>
      <w:spacing w:before="480" w:after="240" w:line="500" w:lineRule="atLeast"/>
      <w:outlineLvl w:val="1"/>
    </w:pPr>
    <w:rPr>
      <w:rFonts w:asciiTheme="majorHAnsi" w:eastAsiaTheme="majorEastAsia" w:hAnsiTheme="majorHAnsi" w:cstheme="majorBidi"/>
      <w:color w:val="004E7D"/>
      <w:sz w:val="44"/>
      <w:szCs w:val="26"/>
    </w:rPr>
  </w:style>
  <w:style w:type="paragraph" w:styleId="Heading3">
    <w:name w:val="heading 3"/>
    <w:basedOn w:val="Normal"/>
    <w:next w:val="Normal"/>
    <w:link w:val="Heading3Char"/>
    <w:uiPriority w:val="9"/>
    <w:qFormat/>
    <w:rsid w:val="008402E0"/>
    <w:pPr>
      <w:keepNext/>
      <w:keepLines/>
      <w:spacing w:before="480" w:after="240" w:line="380" w:lineRule="atLeast"/>
      <w:outlineLvl w:val="2"/>
    </w:pPr>
    <w:rPr>
      <w:rFonts w:asciiTheme="majorHAnsi" w:eastAsiaTheme="majorEastAsia" w:hAnsiTheme="majorHAnsi" w:cstheme="majorBidi"/>
      <w:color w:val="004E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5E51F7"/>
    <w:rPr>
      <w:rFonts w:asciiTheme="majorHAnsi" w:eastAsiaTheme="majorEastAsia" w:hAnsiTheme="majorHAnsi" w:cstheme="majorBidi"/>
      <w:color w:val="004E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409CF"/>
    <w:pPr>
      <w:pBdr>
        <w:top w:val="single" w:sz="4" w:space="14" w:color="F7941D"/>
        <w:left w:val="single" w:sz="4" w:space="14" w:color="F7941D"/>
        <w:bottom w:val="single" w:sz="4" w:space="14" w:color="F7941D"/>
        <w:right w:val="single" w:sz="4" w:space="14" w:color="F7941D"/>
      </w:pBdr>
      <w:shd w:val="clear" w:color="auto" w:fill="auto"/>
    </w:pPr>
  </w:style>
  <w:style w:type="paragraph" w:customStyle="1" w:styleId="Boxed2Bullet">
    <w:name w:val="Boxed 2 Bullet"/>
    <w:basedOn w:val="Boxed2Text"/>
    <w:uiPriority w:val="32"/>
    <w:qFormat/>
    <w:rsid w:val="005642C0"/>
    <w:pPr>
      <w:numPr>
        <w:ilvl w:val="1"/>
        <w:numId w:val="2"/>
      </w:numPr>
    </w:pPr>
  </w:style>
  <w:style w:type="paragraph" w:customStyle="1" w:styleId="Boxed2Heading">
    <w:name w:val="Boxed 2 Heading"/>
    <w:basedOn w:val="Boxed2Text"/>
    <w:uiPriority w:val="31"/>
    <w:qFormat/>
    <w:rsid w:val="005409CF"/>
    <w:pPr>
      <w:keepNext/>
    </w:pPr>
    <w:rPr>
      <w:b/>
    </w:rPr>
  </w:style>
  <w:style w:type="paragraph" w:customStyle="1" w:styleId="Bullet1">
    <w:name w:val="Bullet 1"/>
    <w:basedOn w:val="Normal"/>
    <w:uiPriority w:val="2"/>
    <w:qFormat/>
    <w:rsid w:val="005642C0"/>
    <w:pPr>
      <w:numPr>
        <w:numId w:val="12"/>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642C0"/>
    <w:pPr>
      <w:numPr>
        <w:ilvl w:val="2"/>
        <w:numId w:val="3"/>
      </w:numPr>
    </w:pPr>
  </w:style>
  <w:style w:type="paragraph" w:customStyle="1" w:styleId="FigureTitle">
    <w:name w:val="Figure Title"/>
    <w:basedOn w:val="Normal"/>
    <w:uiPriority w:val="12"/>
    <w:qFormat/>
    <w:rsid w:val="00557514"/>
    <w:pPr>
      <w:keepNext/>
      <w:numPr>
        <w:numId w:val="4"/>
      </w:numPr>
      <w:spacing w:before="240"/>
    </w:pPr>
    <w:rPr>
      <w:rFonts w:asciiTheme="majorHAnsi" w:hAnsiTheme="majorHAnsi"/>
      <w:color w:val="004E7D"/>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B87E66"/>
    <w:rPr>
      <w:rFonts w:asciiTheme="majorHAnsi" w:eastAsiaTheme="majorEastAsia" w:hAnsiTheme="majorHAnsi" w:cstheme="majorBidi"/>
      <w:b/>
      <w:color w:val="004E7D"/>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8402E0"/>
    <w:rPr>
      <w:rFonts w:asciiTheme="majorHAnsi" w:eastAsiaTheme="majorEastAsia" w:hAnsiTheme="majorHAnsi" w:cstheme="majorBidi"/>
      <w:color w:val="004E7D"/>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B5474A"/>
    <w:pPr>
      <w:spacing w:before="240" w:after="240"/>
      <w:contextualSpacing/>
    </w:pPr>
    <w:rPr>
      <w:rFonts w:asciiTheme="majorHAnsi" w:hAnsiTheme="majorHAnsi"/>
      <w:color w:val="004E7D"/>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rsid w:val="00D01439"/>
    <w:pPr>
      <w:numPr>
        <w:numId w:val="7"/>
      </w:numPr>
      <w:spacing w:before="480" w:after="480" w:line="340" w:lineRule="atLeast"/>
    </w:pPr>
    <w:rPr>
      <w:color w:val="004E7D"/>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57514"/>
    <w:pPr>
      <w:spacing w:before="180" w:after="480" w:line="200" w:lineRule="atLeast"/>
      <w:ind w:right="2268"/>
    </w:pPr>
    <w:rPr>
      <w:rFonts w:asciiTheme="majorHAnsi" w:hAnsiTheme="majorHAnsi"/>
      <w:iCs/>
      <w:color w:val="004E7D"/>
      <w:sz w:val="16"/>
      <w:szCs w:val="18"/>
    </w:rPr>
  </w:style>
  <w:style w:type="paragraph" w:styleId="Title">
    <w:name w:val="Title"/>
    <w:basedOn w:val="Normal"/>
    <w:next w:val="Normal"/>
    <w:link w:val="TitleChar"/>
    <w:uiPriority w:val="22"/>
    <w:qFormat/>
    <w:rsid w:val="008402E0"/>
    <w:pPr>
      <w:keepLines/>
      <w:spacing w:before="0" w:after="360" w:line="640" w:lineRule="exact"/>
      <w:contextualSpacing/>
      <w:outlineLvl w:val="0"/>
    </w:pPr>
    <w:rPr>
      <w:rFonts w:asciiTheme="majorHAnsi" w:eastAsiaTheme="majorEastAsia" w:hAnsiTheme="majorHAnsi" w:cstheme="majorBidi"/>
      <w:color w:val="004E7D"/>
      <w:kern w:val="28"/>
      <w:sz w:val="60"/>
      <w:szCs w:val="56"/>
    </w:rPr>
  </w:style>
  <w:style w:type="character" w:customStyle="1" w:styleId="TitleChar">
    <w:name w:val="Title Char"/>
    <w:basedOn w:val="DefaultParagraphFont"/>
    <w:link w:val="Title"/>
    <w:uiPriority w:val="22"/>
    <w:rsid w:val="008402E0"/>
    <w:rPr>
      <w:rFonts w:asciiTheme="majorHAnsi" w:eastAsiaTheme="majorEastAsia" w:hAnsiTheme="majorHAnsi" w:cstheme="majorBidi"/>
      <w:color w:val="004E7D"/>
      <w:kern w:val="28"/>
      <w:sz w:val="60"/>
      <w:szCs w:val="56"/>
    </w:rPr>
  </w:style>
  <w:style w:type="paragraph" w:styleId="Subtitle">
    <w:name w:val="Subtitle"/>
    <w:basedOn w:val="Normal"/>
    <w:next w:val="Normal"/>
    <w:link w:val="SubtitleChar"/>
    <w:uiPriority w:val="23"/>
    <w:qFormat/>
    <w:rsid w:val="00D01439"/>
    <w:pPr>
      <w:keepLines/>
      <w:numPr>
        <w:ilvl w:val="1"/>
      </w:numPr>
      <w:spacing w:before="360" w:after="360" w:line="280" w:lineRule="exact"/>
      <w:contextualSpacing/>
    </w:pPr>
    <w:rPr>
      <w:rFonts w:eastAsiaTheme="minorEastAsia"/>
      <w:color w:val="004E7D"/>
      <w:sz w:val="24"/>
    </w:rPr>
  </w:style>
  <w:style w:type="character" w:customStyle="1" w:styleId="SubtitleChar">
    <w:name w:val="Subtitle Char"/>
    <w:basedOn w:val="DefaultParagraphFont"/>
    <w:link w:val="Subtitle"/>
    <w:uiPriority w:val="23"/>
    <w:rsid w:val="00D01439"/>
    <w:rPr>
      <w:rFonts w:eastAsiaTheme="minorEastAsia"/>
      <w:color w:val="004E7D"/>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character" w:styleId="IntenseReference">
    <w:name w:val="Intense Reference"/>
    <w:basedOn w:val="DefaultParagraphFont"/>
    <w:uiPriority w:val="32"/>
    <w:qFormat/>
    <w:rsid w:val="00D01439"/>
    <w:rPr>
      <w:b/>
      <w:bCs/>
      <w:smallCaps/>
      <w:color w:val="004E7D"/>
      <w:spacing w:val="5"/>
    </w:rPr>
  </w:style>
  <w:style w:type="paragraph" w:styleId="IntenseQuote">
    <w:name w:val="Intense Quote"/>
    <w:basedOn w:val="Normal"/>
    <w:next w:val="Normal"/>
    <w:link w:val="IntenseQuoteChar"/>
    <w:uiPriority w:val="30"/>
    <w:rsid w:val="005409CF"/>
    <w:pPr>
      <w:pBdr>
        <w:top w:val="single" w:sz="4" w:space="10" w:color="00847E" w:themeColor="accent1"/>
        <w:bottom w:val="single" w:sz="4" w:space="10" w:color="00847E" w:themeColor="accent1"/>
      </w:pBdr>
      <w:spacing w:before="360" w:after="360"/>
      <w:ind w:left="864" w:right="864"/>
      <w:jc w:val="center"/>
    </w:pPr>
    <w:rPr>
      <w:i/>
      <w:iCs/>
      <w:color w:val="004E7D"/>
    </w:rPr>
  </w:style>
  <w:style w:type="character" w:customStyle="1" w:styleId="IntenseQuoteChar">
    <w:name w:val="Intense Quote Char"/>
    <w:basedOn w:val="DefaultParagraphFont"/>
    <w:link w:val="IntenseQuote"/>
    <w:uiPriority w:val="30"/>
    <w:rsid w:val="005409CF"/>
    <w:rPr>
      <w:i/>
      <w:iCs/>
      <w:color w:val="004E7D"/>
    </w:rPr>
  </w:style>
  <w:style w:type="paragraph" w:styleId="ListParagraph">
    <w:name w:val="List Paragraph"/>
    <w:basedOn w:val="Normal"/>
    <w:link w:val="ListParagraphChar"/>
    <w:uiPriority w:val="34"/>
    <w:qFormat/>
    <w:rsid w:val="00420110"/>
    <w:pPr>
      <w:ind w:left="720"/>
      <w:contextualSpacing/>
    </w:pPr>
  </w:style>
  <w:style w:type="character" w:styleId="Hyperlink">
    <w:name w:val="Hyperlink"/>
    <w:basedOn w:val="DefaultParagraphFont"/>
    <w:uiPriority w:val="99"/>
    <w:unhideWhenUsed/>
    <w:rsid w:val="005E51F7"/>
    <w:rPr>
      <w:color w:val="004E7D"/>
      <w:u w:val="single"/>
    </w:rPr>
  </w:style>
  <w:style w:type="table" w:styleId="TableGrid">
    <w:name w:val="Table Grid"/>
    <w:basedOn w:val="TableNormal"/>
    <w:uiPriority w:val="39"/>
    <w:rsid w:val="00A47C2B"/>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7C2B"/>
    <w:rPr>
      <w:sz w:val="16"/>
      <w:szCs w:val="16"/>
    </w:rPr>
  </w:style>
  <w:style w:type="paragraph" w:styleId="CommentText">
    <w:name w:val="annotation text"/>
    <w:basedOn w:val="Normal"/>
    <w:link w:val="CommentTextChar"/>
    <w:uiPriority w:val="99"/>
    <w:unhideWhenUsed/>
    <w:rsid w:val="00A47C2B"/>
    <w:pPr>
      <w:spacing w:before="0" w:after="160"/>
    </w:pPr>
    <w:rPr>
      <w:color w:val="auto"/>
      <w:sz w:val="20"/>
      <w:szCs w:val="20"/>
    </w:rPr>
  </w:style>
  <w:style w:type="character" w:customStyle="1" w:styleId="CommentTextChar">
    <w:name w:val="Comment Text Char"/>
    <w:basedOn w:val="DefaultParagraphFont"/>
    <w:link w:val="CommentText"/>
    <w:uiPriority w:val="99"/>
    <w:rsid w:val="00A47C2B"/>
    <w:rPr>
      <w:color w:val="auto"/>
      <w:sz w:val="20"/>
      <w:szCs w:val="20"/>
    </w:rPr>
  </w:style>
  <w:style w:type="character" w:customStyle="1" w:styleId="cf01">
    <w:name w:val="cf01"/>
    <w:basedOn w:val="DefaultParagraphFont"/>
    <w:rsid w:val="00A47C2B"/>
    <w:rPr>
      <w:rFonts w:ascii="Segoe UI" w:hAnsi="Segoe UI" w:cs="Segoe UI" w:hint="default"/>
      <w:sz w:val="18"/>
      <w:szCs w:val="18"/>
    </w:rPr>
  </w:style>
  <w:style w:type="paragraph" w:customStyle="1" w:styleId="Tabletext">
    <w:name w:val="Table text"/>
    <w:basedOn w:val="Normal"/>
    <w:link w:val="TabletextChar"/>
    <w:qFormat/>
    <w:rsid w:val="009C6F1F"/>
    <w:pPr>
      <w:spacing w:before="0"/>
    </w:pPr>
    <w:rPr>
      <w:color w:val="auto"/>
    </w:rPr>
  </w:style>
  <w:style w:type="paragraph" w:customStyle="1" w:styleId="Bullet-In-Table">
    <w:name w:val="Bullet-In-Table"/>
    <w:basedOn w:val="ListParagraph"/>
    <w:link w:val="Bullet-In-TableChar"/>
    <w:qFormat/>
    <w:rsid w:val="000B2ADF"/>
    <w:pPr>
      <w:numPr>
        <w:numId w:val="32"/>
      </w:numPr>
      <w:spacing w:before="0" w:after="0"/>
      <w:ind w:left="463"/>
    </w:pPr>
    <w:rPr>
      <w:color w:val="auto"/>
    </w:rPr>
  </w:style>
  <w:style w:type="character" w:customStyle="1" w:styleId="TabletextChar">
    <w:name w:val="Table text Char"/>
    <w:basedOn w:val="DefaultParagraphFont"/>
    <w:link w:val="Tabletext"/>
    <w:rsid w:val="009C6F1F"/>
    <w:rPr>
      <w:rFonts w:cstheme="minorHAnsi"/>
      <w:color w:val="auto"/>
    </w:rPr>
  </w:style>
  <w:style w:type="paragraph" w:styleId="CommentSubject">
    <w:name w:val="annotation subject"/>
    <w:basedOn w:val="CommentText"/>
    <w:next w:val="CommentText"/>
    <w:link w:val="CommentSubjectChar"/>
    <w:uiPriority w:val="99"/>
    <w:semiHidden/>
    <w:unhideWhenUsed/>
    <w:rsid w:val="00A34B27"/>
    <w:pPr>
      <w:spacing w:before="120" w:after="120"/>
    </w:pPr>
    <w:rPr>
      <w:b/>
      <w:bCs/>
      <w:color w:val="000000" w:themeColor="text1"/>
    </w:rPr>
  </w:style>
  <w:style w:type="character" w:customStyle="1" w:styleId="ListParagraphChar">
    <w:name w:val="List Paragraph Char"/>
    <w:basedOn w:val="DefaultParagraphFont"/>
    <w:link w:val="ListParagraph"/>
    <w:uiPriority w:val="34"/>
    <w:rsid w:val="000B2ADF"/>
    <w:rPr>
      <w:rFonts w:cstheme="minorHAnsi"/>
    </w:rPr>
  </w:style>
  <w:style w:type="character" w:customStyle="1" w:styleId="Bullet-In-TableChar">
    <w:name w:val="Bullet-In-Table Char"/>
    <w:basedOn w:val="ListParagraphChar"/>
    <w:link w:val="Bullet-In-Table"/>
    <w:rsid w:val="000B2ADF"/>
    <w:rPr>
      <w:rFonts w:cstheme="minorHAnsi"/>
      <w:color w:val="auto"/>
    </w:rPr>
  </w:style>
  <w:style w:type="character" w:customStyle="1" w:styleId="CommentSubjectChar">
    <w:name w:val="Comment Subject Char"/>
    <w:basedOn w:val="CommentTextChar"/>
    <w:link w:val="CommentSubject"/>
    <w:uiPriority w:val="99"/>
    <w:semiHidden/>
    <w:rsid w:val="00A34B27"/>
    <w:rPr>
      <w:rFonts w:cstheme="minorHAnsi"/>
      <w:b/>
      <w:bCs/>
      <w:color w:val="auto"/>
      <w:sz w:val="20"/>
      <w:szCs w:val="20"/>
    </w:rPr>
  </w:style>
  <w:style w:type="character" w:styleId="UnresolvedMention">
    <w:name w:val="Unresolved Mention"/>
    <w:basedOn w:val="DefaultParagraphFont"/>
    <w:uiPriority w:val="99"/>
    <w:semiHidden/>
    <w:unhideWhenUsed/>
    <w:rsid w:val="001036C1"/>
    <w:rPr>
      <w:color w:val="605E5C"/>
      <w:shd w:val="clear" w:color="auto" w:fill="E1DFDD"/>
    </w:rPr>
  </w:style>
  <w:style w:type="paragraph" w:styleId="Revision">
    <w:name w:val="Revision"/>
    <w:hidden/>
    <w:uiPriority w:val="99"/>
    <w:semiHidden/>
    <w:rsid w:val="00B87E66"/>
    <w:pPr>
      <w:spacing w:before="0" w:after="0"/>
    </w:pPr>
    <w:rPr>
      <w:rFonts w:cstheme="minorHAnsi"/>
    </w:rPr>
  </w:style>
  <w:style w:type="character" w:styleId="FollowedHyperlink">
    <w:name w:val="FollowedHyperlink"/>
    <w:basedOn w:val="DefaultParagraphFont"/>
    <w:uiPriority w:val="99"/>
    <w:semiHidden/>
    <w:unhideWhenUsed/>
    <w:rsid w:val="005E51F7"/>
    <w:rPr>
      <w:color w:val="00847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76494">
      <w:bodyDiv w:val="1"/>
      <w:marLeft w:val="0"/>
      <w:marRight w:val="0"/>
      <w:marTop w:val="0"/>
      <w:marBottom w:val="0"/>
      <w:divBdr>
        <w:top w:val="none" w:sz="0" w:space="0" w:color="auto"/>
        <w:left w:val="none" w:sz="0" w:space="0" w:color="auto"/>
        <w:bottom w:val="none" w:sz="0" w:space="0" w:color="auto"/>
        <w:right w:val="none" w:sz="0" w:space="0" w:color="auto"/>
      </w:divBdr>
    </w:div>
    <w:div w:id="214218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icos@teqsa.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qsaDocumentType xmlns="28b94040-26a8-469a-8038-0c82e6a14f19">
      <Value>Template</Value>
    </TeqsaDocumentType>
    <TeqsaTeam xmlns="28b94040-26a8-469a-8038-0c82e6a14f19">
      <Value>Brand</Value>
      <Value>Communications</Value>
      <Value>Engagement</Value>
    </TeqsaTeam>
    <Owner xmlns="979ab06a-6535-4638-b59f-980faa50cb4b">
      <UserInfo>
        <DisplayName>Tom Hewitt-McManus</DisplayName>
        <AccountId>20</AccountId>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Resource Item" ma:contentTypeID="0x01010037581DFBB9924576A005A4A1995DD10D001BC120C84BAF1049BC9567D96DB3AF79" ma:contentTypeVersion="12" ma:contentTypeDescription="Resource Item" ma:contentTypeScope="" ma:versionID="fb9ddc587373c7381d7d2aac4b480ccd">
  <xsd:schema xmlns:xsd="http://www.w3.org/2001/XMLSchema" xmlns:xs="http://www.w3.org/2001/XMLSchema" xmlns:p="http://schemas.microsoft.com/office/2006/metadata/properties" xmlns:ns2="28b94040-26a8-469a-8038-0c82e6a14f19" xmlns:ns3="979ab06a-6535-4638-b59f-980faa50cb4b" targetNamespace="http://schemas.microsoft.com/office/2006/metadata/properties" ma:root="true" ma:fieldsID="261ad8be543d6a8f4df0b667c1d79f67" ns2:_="" ns3:_="">
    <xsd:import namespace="28b94040-26a8-469a-8038-0c82e6a14f19"/>
    <xsd:import namespace="979ab06a-6535-4638-b59f-980faa50cb4b"/>
    <xsd:element name="properties">
      <xsd:complexType>
        <xsd:sequence>
          <xsd:element name="documentManagement">
            <xsd:complexType>
              <xsd:all>
                <xsd:element ref="ns2:TeqsaDocumentType" minOccurs="0"/>
                <xsd:element ref="ns2:Teqsa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4040-26a8-469a-8038-0c82e6a14f19" elementFormDefault="qualified">
    <xsd:import namespace="http://schemas.microsoft.com/office/2006/documentManagement/types"/>
    <xsd:import namespace="http://schemas.microsoft.com/office/infopath/2007/PartnerControls"/>
    <xsd:element name="TeqsaDocumentType" ma:index="1" nillable="true" ma:displayName="Type" ma:format="Dropdown" ma:internalName="TeqsaDocumentType"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ommunique"/>
                    <xsd:enumeration value="Knowledge Article"/>
                    <xsd:enumeration value="Other"/>
                  </xsd:restriction>
                </xsd:simpleType>
              </xsd:element>
            </xsd:sequence>
          </xsd:extension>
        </xsd:complexContent>
      </xsd:complexType>
    </xsd:element>
    <xsd:element name="TeqsaTeam" ma:index="2" nillable="true" ma:displayName="Team" ma:format="Dropdown" ma:internalName="TeqsaTeam" ma:requiredMultiChoice="true">
      <xsd:complexType>
        <xsd:complexContent>
          <xsd:extension base="dms:MultiChoice">
            <xsd:sequence>
              <xsd:element name="Value" maxOccurs="unbounded" minOccurs="0" nillable="true">
                <xsd:simpleType>
                  <xsd:restriction base="dms:Choice">
                    <xsd:enumeration value="Acknowledgement of Country"/>
                    <xsd:enumeration value="Annual Report"/>
                    <xsd:enumeration value="APS Employee Census"/>
                    <xsd:enumeration value="Assessment and Investigations"/>
                    <xsd:enumeration value="Assurance"/>
                    <xsd:enumeration value="Brand"/>
                    <xsd:enumeration value="Business Solutions"/>
                    <xsd:enumeration value="Case Management Handbook"/>
                    <xsd:enumeration value="Commission"/>
                    <xsd:enumeration value="Communications"/>
                    <xsd:enumeration value="Compliance and Investigations"/>
                    <xsd:enumeration value="Corporate"/>
                    <xsd:enumeration value="COVIDSafe"/>
                    <xsd:enumeration value="CRIS"/>
                    <xsd:enumeration value="CRM"/>
                    <xsd:enumeration value="Culture and Values"/>
                    <xsd:enumeration value="ELT"/>
                    <xsd:enumeration value="Emergency"/>
                    <xsd:enumeration value="Engagement"/>
                    <xsd:enumeration value="Enterprise Agreement"/>
                    <xsd:enumeration value="Executive Office"/>
                    <xsd:enumeration value="Experts and Events"/>
                    <xsd:enumeration value="Finance"/>
                    <xsd:enumeration value="Governance"/>
                    <xsd:enumeration value="Harassment Contact Officers"/>
                    <xsd:enumeration value="Higher Education Integrity Unit"/>
                    <xsd:enumeration value="HR Policies and Procedures"/>
                    <xsd:enumeration value="ICT"/>
                    <xsd:enumeration value="Inclusion and Diversity"/>
                    <xsd:enumeration value="IT"/>
                    <xsd:enumeration value="Learning Committee"/>
                    <xsd:enumeration value="Learning Development"/>
                    <xsd:enumeration value="Legal"/>
                    <xsd:enumeration value="Library"/>
                    <xsd:enumeration value="Mental Health"/>
                    <xsd:enumeration value="Orientation"/>
                    <xsd:enumeration value="Parliamentary Liaison"/>
                    <xsd:enumeration value="People and Capability"/>
                    <xsd:enumeration value="Policy and Analysis"/>
                    <xsd:enumeration value="Policy and Research"/>
                    <xsd:enumeration value="Provider Category Standards"/>
                    <xsd:enumeration value="Provider Management Solution"/>
                    <xsd:enumeration value="Quality Assurance"/>
                    <xsd:enumeration value="Reception"/>
                    <xsd:enumeration value="Recognition and Awards"/>
                    <xsd:enumeration value="Records Management"/>
                    <xsd:enumeration value="Records Management Project"/>
                    <xsd:enumeration value="Regulatory Operations"/>
                    <xsd:enumeration value="RUOK"/>
                    <xsd:enumeration value="Secretariat"/>
                    <xsd:enumeration value="Security"/>
                    <xsd:enumeration value="SMT"/>
                    <xsd:enumeration value="Social club"/>
                    <xsd:enumeration value="Social media"/>
                    <xsd:enumeration value="Specialisation"/>
                    <xsd:enumeration value="Staff Consultative Committee"/>
                    <xsd:enumeration value="Thematic Analysis"/>
                    <xsd:enumeration value="TRAC"/>
                    <xsd:enumeration value="Updates for Staff"/>
                    <xsd:enumeration value="Work Health and Safety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ab06a-6535-4638-b59f-980faa50cb4b"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69B96-A925-479D-9BC1-F9CA72476231}">
  <ds:schemaRefs>
    <ds:schemaRef ds:uri="http://schemas.openxmlformats.org/officeDocument/2006/bibliography"/>
  </ds:schemaRefs>
</ds:datastoreItem>
</file>

<file path=customXml/itemProps2.xml><?xml version="1.0" encoding="utf-8"?>
<ds:datastoreItem xmlns:ds="http://schemas.openxmlformats.org/officeDocument/2006/customXml" ds:itemID="{A82E1C12-8773-409A-B29D-4FC4E6BF5F01}">
  <ds:schemaRefs>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microsoft.com/office/2006/metadata/properties"/>
    <ds:schemaRef ds:uri="979ab06a-6535-4638-b59f-980faa50cb4b"/>
    <ds:schemaRef ds:uri="http://schemas.openxmlformats.org/package/2006/metadata/core-properties"/>
    <ds:schemaRef ds:uri="28b94040-26a8-469a-8038-0c82e6a14f19"/>
    <ds:schemaRef ds:uri="http://www.w3.org/XML/1998/namespace"/>
  </ds:schemaRefs>
</ds:datastoreItem>
</file>

<file path=customXml/itemProps3.xml><?xml version="1.0" encoding="utf-8"?>
<ds:datastoreItem xmlns:ds="http://schemas.openxmlformats.org/officeDocument/2006/customXml" ds:itemID="{6D721EC9-C353-4B32-8FB4-8CE98A129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4040-26a8-469a-8038-0c82e6a14f19"/>
    <ds:schemaRef ds:uri="979ab06a-6535-4638-b59f-980faa50c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Guide for CRICOS providers undertaking an independent external audit</vt:lpstr>
    </vt:vector>
  </TitlesOfParts>
  <Company>Tertiary Education Quality and Standards Agency</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CRICOS providers undertaking an independent external audit</dc:title>
  <dc:creator>Deanne Gedge</dc:creator>
  <cp:lastModifiedBy>Tom Hewitt-McManus</cp:lastModifiedBy>
  <cp:revision>3</cp:revision>
  <cp:lastPrinted>2022-10-14T00:28:00Z</cp:lastPrinted>
  <dcterms:created xsi:type="dcterms:W3CDTF">2022-10-27T03:08:00Z</dcterms:created>
  <dcterms:modified xsi:type="dcterms:W3CDTF">2022-10-27T03:08:00Z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0x01010037581DFBB9924576A005A4A1995DD10D001BC120C84BAF1049BC9567D96DB3AF79</vt:lpwstr>
  </property>
  <property fmtid="{D5CDD505-2E9C-101B-9397-08002B2CF9AE}" pid="3" name="Team">
    <vt:lpwstr>45;#Comms and International|f1db5572-7306-443e-a442-d56c9f2c52d1</vt:lpwstr>
  </property>
</Properties>
</file>