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0113" w14:textId="6DCE0B1E" w:rsidR="00612285" w:rsidRDefault="000814C0" w:rsidP="00B4346A">
      <w:pPr>
        <w:pStyle w:val="Heading2"/>
        <w:spacing w:before="120" w:after="120" w:line="240" w:lineRule="auto"/>
      </w:pPr>
      <w:r w:rsidRPr="00353177">
        <w:t>Sector update:</w:t>
      </w:r>
      <w:r w:rsidRPr="00353177">
        <w:br/>
      </w:r>
      <w:r w:rsidR="00252823" w:rsidRPr="00353177">
        <w:t>Engaging an</w:t>
      </w:r>
      <w:r w:rsidR="00612285" w:rsidRPr="00353177">
        <w:t xml:space="preserve"> independent</w:t>
      </w:r>
      <w:r w:rsidR="00D31D68" w:rsidRPr="00353177">
        <w:t xml:space="preserve"> </w:t>
      </w:r>
      <w:r w:rsidR="00D31D68">
        <w:t>expert</w:t>
      </w:r>
      <w:r w:rsidR="00612285">
        <w:t xml:space="preserve"> </w:t>
      </w:r>
      <w:r w:rsidR="00CC7E99">
        <w:t xml:space="preserve">to undertake a </w:t>
      </w:r>
      <w:r w:rsidR="00612285" w:rsidRPr="000D1944">
        <w:t>review</w:t>
      </w:r>
    </w:p>
    <w:p w14:paraId="6D60C5AA" w14:textId="5F0755F2" w:rsidR="00C11B9A" w:rsidRPr="00B92A43" w:rsidRDefault="00C11B9A" w:rsidP="00C11B9A">
      <w:pPr>
        <w:pStyle w:val="BodyText"/>
        <w:spacing w:before="120" w:after="120"/>
      </w:pPr>
      <w:r>
        <w:t xml:space="preserve">This document </w:t>
      </w:r>
      <w:r w:rsidR="00610821">
        <w:t>gives providers</w:t>
      </w:r>
      <w:r>
        <w:t xml:space="preserve"> guidance on planning and conducting independent expert reviews.</w:t>
      </w:r>
    </w:p>
    <w:p w14:paraId="55AE8E3D" w14:textId="7EE2D337" w:rsidR="00EE6788" w:rsidRDefault="00EE6788" w:rsidP="00A902EE">
      <w:pPr>
        <w:pStyle w:val="Heading3"/>
      </w:pPr>
      <w:r>
        <w:t xml:space="preserve">Why </w:t>
      </w:r>
      <w:proofErr w:type="gramStart"/>
      <w:r>
        <w:t>undertake</w:t>
      </w:r>
      <w:proofErr w:type="gramEnd"/>
      <w:r>
        <w:t xml:space="preserve"> a review?</w:t>
      </w:r>
    </w:p>
    <w:p w14:paraId="1A0CC0FB" w14:textId="23999324" w:rsidR="008450DC" w:rsidRDefault="008450DC" w:rsidP="00A902EE">
      <w:pPr>
        <w:pStyle w:val="Bullet1"/>
      </w:pPr>
      <w:r>
        <w:t xml:space="preserve">An independent review </w:t>
      </w:r>
      <w:r w:rsidR="004A7912">
        <w:t>can be</w:t>
      </w:r>
      <w:r>
        <w:t xml:space="preserve"> an effective way </w:t>
      </w:r>
      <w:r w:rsidR="00A3186F">
        <w:t xml:space="preserve">for a provider </w:t>
      </w:r>
      <w:r>
        <w:t xml:space="preserve">to check </w:t>
      </w:r>
      <w:r w:rsidR="000F4D05">
        <w:t>the effectiveness of its institutional quality assurance processes.</w:t>
      </w:r>
    </w:p>
    <w:p w14:paraId="4A5E3915" w14:textId="5BC7305F" w:rsidR="003B060A" w:rsidRDefault="00226C9E" w:rsidP="00A902EE">
      <w:pPr>
        <w:pStyle w:val="Bullet1"/>
      </w:pPr>
      <w:r>
        <w:t>I</w:t>
      </w:r>
      <w:r w:rsidR="003B060A">
        <w:t>ndependent reviews can help assure providers that</w:t>
      </w:r>
      <w:r w:rsidR="008450DC">
        <w:t xml:space="preserve"> </w:t>
      </w:r>
      <w:r w:rsidR="004A0868">
        <w:t>their in</w:t>
      </w:r>
      <w:r w:rsidR="00630032">
        <w:t>stitutional</w:t>
      </w:r>
      <w:r w:rsidR="00CC7E99">
        <w:t xml:space="preserve"> policies, </w:t>
      </w:r>
      <w:proofErr w:type="gramStart"/>
      <w:r w:rsidR="00CC7E99">
        <w:t>procedures</w:t>
      </w:r>
      <w:proofErr w:type="gramEnd"/>
      <w:r w:rsidR="00CC7E99">
        <w:t xml:space="preserve"> and practice </w:t>
      </w:r>
      <w:r w:rsidR="00B47ECF">
        <w:t xml:space="preserve">remain current and aligned with </w:t>
      </w:r>
      <w:r w:rsidR="00B47ECF" w:rsidRPr="007D765F">
        <w:t>contemporary developments</w:t>
      </w:r>
      <w:r w:rsidR="008450DC">
        <w:t>.</w:t>
      </w:r>
    </w:p>
    <w:p w14:paraId="7A4A425F" w14:textId="1D6491D0" w:rsidR="008450DC" w:rsidRDefault="008450DC" w:rsidP="00A902EE">
      <w:pPr>
        <w:pStyle w:val="Bullet1"/>
      </w:pPr>
      <w:r>
        <w:t xml:space="preserve">Opportunities for continuous improvement can be identified. A provider can reflect on the recommendations made and identify and implement improvements, </w:t>
      </w:r>
      <w:r w:rsidR="004A0868">
        <w:t xml:space="preserve">both of </w:t>
      </w:r>
      <w:r>
        <w:t xml:space="preserve">which </w:t>
      </w:r>
      <w:r w:rsidR="00A3186F">
        <w:t>are</w:t>
      </w:r>
      <w:r>
        <w:t xml:space="preserve"> critical </w:t>
      </w:r>
      <w:r w:rsidR="00A3186F">
        <w:t>elements</w:t>
      </w:r>
      <w:r>
        <w:t xml:space="preserve"> of a provider’s self-assurance and quality improvement process.</w:t>
      </w:r>
    </w:p>
    <w:p w14:paraId="67A2663F" w14:textId="158CAD7C" w:rsidR="003B060A" w:rsidRDefault="00E92CFC" w:rsidP="00A902EE">
      <w:pPr>
        <w:pStyle w:val="Bullet1"/>
      </w:pPr>
      <w:r>
        <w:t>Independent review p</w:t>
      </w:r>
      <w:r w:rsidR="00B47ECF">
        <w:t>rovides an opportunity to</w:t>
      </w:r>
      <w:r w:rsidR="007315B3">
        <w:t xml:space="preserve"> </w:t>
      </w:r>
      <w:r w:rsidR="00B47ECF">
        <w:t>e</w:t>
      </w:r>
      <w:r w:rsidR="008450DC">
        <w:t>ngage with</w:t>
      </w:r>
      <w:r w:rsidR="00B47ECF">
        <w:t xml:space="preserve"> </w:t>
      </w:r>
      <w:r w:rsidR="008450DC">
        <w:t>expertise not available</w:t>
      </w:r>
      <w:r w:rsidR="00B47ECF">
        <w:t xml:space="preserve"> </w:t>
      </w:r>
      <w:r w:rsidR="00A3186F">
        <w:t>internally</w:t>
      </w:r>
      <w:r w:rsidR="00B47ECF">
        <w:t xml:space="preserve"> and</w:t>
      </w:r>
      <w:r w:rsidR="00031F13">
        <w:t xml:space="preserve"> </w:t>
      </w:r>
      <w:r w:rsidR="00B47ECF">
        <w:t xml:space="preserve">draw on additional </w:t>
      </w:r>
      <w:r w:rsidR="00B47ECF" w:rsidRPr="007537A8">
        <w:t>specialised</w:t>
      </w:r>
      <w:r w:rsidR="00B47ECF">
        <w:t xml:space="preserve"> expertise.</w:t>
      </w:r>
      <w:r w:rsidR="007315B3">
        <w:t xml:space="preserve"> </w:t>
      </w:r>
    </w:p>
    <w:p w14:paraId="7654478A" w14:textId="11A685F9" w:rsidR="000A13F7" w:rsidRPr="00353177" w:rsidRDefault="000A13F7" w:rsidP="00A902EE">
      <w:pPr>
        <w:pStyle w:val="Bullet1"/>
        <w:rPr>
          <w:color w:val="auto"/>
        </w:rPr>
      </w:pPr>
      <w:r w:rsidRPr="00353177">
        <w:rPr>
          <w:color w:val="auto"/>
        </w:rPr>
        <w:t>Incorpo</w:t>
      </w:r>
      <w:r w:rsidR="002A0974" w:rsidRPr="00353177">
        <w:rPr>
          <w:color w:val="auto"/>
        </w:rPr>
        <w:t>rating</w:t>
      </w:r>
      <w:r w:rsidRPr="00353177">
        <w:rPr>
          <w:color w:val="auto"/>
        </w:rPr>
        <w:t xml:space="preserve"> independent expert advice into </w:t>
      </w:r>
      <w:r w:rsidR="00353177" w:rsidRPr="00353177">
        <w:rPr>
          <w:color w:val="auto"/>
        </w:rPr>
        <w:t>business-as-usual</w:t>
      </w:r>
      <w:r w:rsidRPr="00353177">
        <w:rPr>
          <w:color w:val="auto"/>
        </w:rPr>
        <w:t xml:space="preserve"> processes </w:t>
      </w:r>
      <w:r w:rsidR="002A0974" w:rsidRPr="00353177">
        <w:rPr>
          <w:color w:val="auto"/>
        </w:rPr>
        <w:t xml:space="preserve">delivers the best value to providers </w:t>
      </w:r>
      <w:r w:rsidRPr="00353177">
        <w:rPr>
          <w:color w:val="auto"/>
        </w:rPr>
        <w:t xml:space="preserve">as a means of supporting </w:t>
      </w:r>
      <w:r w:rsidRPr="00353177">
        <w:rPr>
          <w:rFonts w:eastAsia="Arial"/>
          <w:color w:val="auto"/>
        </w:rPr>
        <w:t xml:space="preserve">effective institutional quality assurance. </w:t>
      </w:r>
    </w:p>
    <w:p w14:paraId="50E82040" w14:textId="4988826F" w:rsidR="000A13F7" w:rsidRPr="00A902EE" w:rsidRDefault="002A0974" w:rsidP="00A902EE">
      <w:pPr>
        <w:pStyle w:val="Bullet1"/>
        <w:rPr>
          <w:color w:val="auto"/>
        </w:rPr>
      </w:pPr>
      <w:r w:rsidRPr="00353177">
        <w:rPr>
          <w:color w:val="auto"/>
        </w:rPr>
        <w:t>Engaging</w:t>
      </w:r>
      <w:r w:rsidR="000A13F7" w:rsidRPr="00353177">
        <w:rPr>
          <w:color w:val="auto"/>
        </w:rPr>
        <w:t xml:space="preserve"> independent expert advice should be seen as an opportunity to contribute to self-assurance and the continuous improvement of the </w:t>
      </w:r>
      <w:r w:rsidR="000A13F7" w:rsidRPr="00353177">
        <w:rPr>
          <w:color w:val="auto"/>
          <w:lang w:val="en-US"/>
        </w:rPr>
        <w:t>organisation</w:t>
      </w:r>
      <w:r w:rsidR="000A13F7" w:rsidRPr="00353177">
        <w:rPr>
          <w:color w:val="auto"/>
        </w:rPr>
        <w:t>, rather than a method to meet TEQSA or other requirements.</w:t>
      </w:r>
    </w:p>
    <w:p w14:paraId="3DE597D3" w14:textId="2A265609" w:rsidR="00031F13" w:rsidRDefault="000A13F7" w:rsidP="00A902EE">
      <w:pPr>
        <w:pStyle w:val="Heading3"/>
      </w:pPr>
      <w:r>
        <w:t>C</w:t>
      </w:r>
      <w:r w:rsidR="00F177EC">
        <w:t>onsideration</w:t>
      </w:r>
      <w:r w:rsidR="00A902EE">
        <w:t>s</w:t>
      </w:r>
      <w:r>
        <w:t xml:space="preserve"> when planning a review</w:t>
      </w:r>
    </w:p>
    <w:p w14:paraId="79D715BC" w14:textId="43BFF90D" w:rsidR="002E694F" w:rsidRDefault="008A3282" w:rsidP="00A902EE">
      <w:pPr>
        <w:pStyle w:val="BodyText"/>
      </w:pPr>
      <w:r>
        <w:rPr>
          <w:rFonts w:cstheme="minorHAnsi"/>
        </w:rPr>
        <w:t xml:space="preserve">Providers may </w:t>
      </w:r>
      <w:r w:rsidR="0002076F">
        <w:t xml:space="preserve">refer to </w:t>
      </w:r>
      <w:hyperlink r:id="rId11" w:history="1">
        <w:r w:rsidR="0002076F" w:rsidRPr="0011008E">
          <w:rPr>
            <w:rStyle w:val="Hyperlink"/>
          </w:rPr>
          <w:t>TEQSA’s guidance on the factors for consideration relating to suitable independence and expertise</w:t>
        </w:r>
      </w:hyperlink>
      <w:r w:rsidR="00C47561">
        <w:t xml:space="preserve">. </w:t>
      </w:r>
      <w:r w:rsidR="00C47561" w:rsidRPr="00E92CFC">
        <w:t xml:space="preserve">Providers may also choose to consult TEQSA’s list of </w:t>
      </w:r>
      <w:hyperlink r:id="rId12" w:history="1">
        <w:r w:rsidR="00C47561" w:rsidRPr="00F94557">
          <w:rPr>
            <w:rStyle w:val="Hyperlink"/>
          </w:rPr>
          <w:t>external experts.</w:t>
        </w:r>
      </w:hyperlink>
    </w:p>
    <w:p w14:paraId="1EE26C40" w14:textId="38E715F4" w:rsidR="00EE6788" w:rsidRPr="00A902EE" w:rsidRDefault="002E694F" w:rsidP="00A902EE">
      <w:pPr>
        <w:pStyle w:val="Heading4"/>
      </w:pPr>
      <w:r w:rsidRPr="00A902EE">
        <w:t>Timing</w:t>
      </w:r>
    </w:p>
    <w:p w14:paraId="6308743C" w14:textId="0D33FFA1" w:rsidR="001975EA" w:rsidRPr="00353177" w:rsidRDefault="00803AF2" w:rsidP="00A902EE">
      <w:pPr>
        <w:pStyle w:val="Bullet1"/>
        <w:rPr>
          <w:rFonts w:ascii="Arial" w:eastAsia="Arial" w:hAnsi="Arial" w:cs="Arial"/>
          <w:color w:val="auto"/>
          <w:lang w:val="en-US"/>
        </w:rPr>
      </w:pPr>
      <w:r w:rsidRPr="00353177">
        <w:t>Should a provider wish to use evidence of independent expert review to demonstrate its focus on self</w:t>
      </w:r>
      <w:r w:rsidR="001975EA" w:rsidRPr="00353177">
        <w:t>-</w:t>
      </w:r>
      <w:r w:rsidRPr="00353177">
        <w:t>assurance and continuous improvement, plann</w:t>
      </w:r>
      <w:r w:rsidR="00542FC4" w:rsidRPr="00353177">
        <w:t>ing</w:t>
      </w:r>
      <w:r w:rsidRPr="00353177">
        <w:t xml:space="preserve"> well in advance of a regulatory process</w:t>
      </w:r>
      <w:r w:rsidR="00542FC4" w:rsidRPr="00353177">
        <w:t xml:space="preserve"> will</w:t>
      </w:r>
      <w:r w:rsidR="00A3186F" w:rsidRPr="00353177">
        <w:t xml:space="preserve"> allow</w:t>
      </w:r>
      <w:r w:rsidRPr="00353177">
        <w:t xml:space="preserve"> time to </w:t>
      </w:r>
      <w:r w:rsidR="00B468B5" w:rsidRPr="00353177">
        <w:t xml:space="preserve">demonstrate </w:t>
      </w:r>
      <w:r w:rsidRPr="00353177">
        <w:t>implement</w:t>
      </w:r>
      <w:r w:rsidR="00B468B5" w:rsidRPr="00353177">
        <w:t>ation of</w:t>
      </w:r>
      <w:r w:rsidRPr="00353177">
        <w:t xml:space="preserve"> actions and improvements.</w:t>
      </w:r>
    </w:p>
    <w:p w14:paraId="4191C3F4" w14:textId="35F092BE" w:rsidR="00EE6788" w:rsidRPr="00A902EE" w:rsidRDefault="00353177" w:rsidP="00A902EE">
      <w:pPr>
        <w:pStyle w:val="Heading4"/>
      </w:pPr>
      <w:r w:rsidRPr="00A902EE">
        <w:t>Scope</w:t>
      </w:r>
    </w:p>
    <w:p w14:paraId="71F2455E" w14:textId="10175065" w:rsidR="007B6CA0" w:rsidRPr="00CC04A4" w:rsidRDefault="00C47561" w:rsidP="00A902EE">
      <w:pPr>
        <w:pStyle w:val="Bullet1"/>
      </w:pPr>
      <w:r w:rsidRPr="00CC04A4">
        <w:t xml:space="preserve">A provider may choose to undertake a comprehensive periodic review, or a targeted review focused on specific </w:t>
      </w:r>
      <w:r w:rsidR="00B468B5" w:rsidRPr="00CC04A4">
        <w:t>standards</w:t>
      </w:r>
      <w:r w:rsidRPr="00CC04A4">
        <w:t>.</w:t>
      </w:r>
      <w:r w:rsidR="0050696F" w:rsidRPr="00CC04A4">
        <w:t xml:space="preserve"> </w:t>
      </w:r>
    </w:p>
    <w:p w14:paraId="68336823" w14:textId="0D41C70B" w:rsidR="00B25456" w:rsidRPr="00CC04A4" w:rsidRDefault="00CC04A4" w:rsidP="00A902EE">
      <w:pPr>
        <w:pStyle w:val="Bullet1"/>
      </w:pPr>
      <w:r w:rsidRPr="00CC04A4">
        <w:t>Providers may include</w:t>
      </w:r>
      <w:r w:rsidR="00A96E8D" w:rsidRPr="00CC04A4">
        <w:t xml:space="preserve"> issues identified through previous reviews, </w:t>
      </w:r>
      <w:r w:rsidR="002B4CA9" w:rsidRPr="00CC04A4">
        <w:t>including those</w:t>
      </w:r>
      <w:r w:rsidR="00B25456" w:rsidRPr="00CC04A4">
        <w:t xml:space="preserve"> identified</w:t>
      </w:r>
      <w:r w:rsidR="002B4CA9" w:rsidRPr="00CC04A4">
        <w:t xml:space="preserve"> by </w:t>
      </w:r>
      <w:r w:rsidR="00A96E8D" w:rsidRPr="00CC04A4">
        <w:t xml:space="preserve">TEQSA or other regulatory processes, material changes that may have occurred </w:t>
      </w:r>
      <w:r w:rsidR="00C47561" w:rsidRPr="00CC04A4">
        <w:t xml:space="preserve">(such as a move to online learning), input from key stakeholders </w:t>
      </w:r>
      <w:r w:rsidR="00B25456" w:rsidRPr="00CC04A4">
        <w:t>including</w:t>
      </w:r>
      <w:r w:rsidR="00C47561" w:rsidRPr="00CC04A4">
        <w:t xml:space="preserve"> students</w:t>
      </w:r>
      <w:r w:rsidR="00B25456" w:rsidRPr="00CC04A4">
        <w:t xml:space="preserve"> and professional accrediting bodies.</w:t>
      </w:r>
    </w:p>
    <w:p w14:paraId="750B8B8A" w14:textId="0A25967D" w:rsidR="00790458" w:rsidRPr="00CC04A4" w:rsidRDefault="00542FC4" w:rsidP="00A902EE">
      <w:pPr>
        <w:pStyle w:val="Bullet1"/>
      </w:pPr>
      <w:bookmarkStart w:id="0" w:name="_Hlk99448032"/>
      <w:r w:rsidRPr="00CC04A4">
        <w:t>The template</w:t>
      </w:r>
      <w:r w:rsidR="00630032" w:rsidRPr="00CC04A4">
        <w:t>s</w:t>
      </w:r>
      <w:r w:rsidRPr="00CC04A4">
        <w:t xml:space="preserve"> TEQSA uses to scope reviews when engaging experts </w:t>
      </w:r>
      <w:r w:rsidR="00630032" w:rsidRPr="00CC04A4">
        <w:t>are</w:t>
      </w:r>
      <w:r w:rsidR="004A0868" w:rsidRPr="00CC04A4">
        <w:t xml:space="preserve"> available </w:t>
      </w:r>
      <w:r w:rsidR="00535908" w:rsidRPr="00535908">
        <w:t>from your case manager</w:t>
      </w:r>
      <w:r w:rsidR="004A0868" w:rsidRPr="00535908">
        <w:t>.</w:t>
      </w:r>
      <w:r w:rsidR="00FA5F3F" w:rsidRPr="00CC04A4">
        <w:t xml:space="preserve"> These are provided as guidance only.</w:t>
      </w:r>
    </w:p>
    <w:bookmarkEnd w:id="0"/>
    <w:p w14:paraId="3922A92D" w14:textId="27C109E6" w:rsidR="0050696F" w:rsidRDefault="00A902EE" w:rsidP="00A902EE">
      <w:pPr>
        <w:pStyle w:val="Heading3"/>
      </w:pPr>
      <w:r>
        <w:lastRenderedPageBreak/>
        <w:t>Consideration of</w:t>
      </w:r>
      <w:r w:rsidR="0050696F" w:rsidRPr="0050696F">
        <w:t xml:space="preserve"> independent expert</w:t>
      </w:r>
      <w:r>
        <w:t xml:space="preserve"> </w:t>
      </w:r>
      <w:r w:rsidR="0050696F" w:rsidRPr="0050696F">
        <w:t>report</w:t>
      </w:r>
      <w:r>
        <w:t>s</w:t>
      </w:r>
    </w:p>
    <w:p w14:paraId="61C20A37" w14:textId="41BA96E7" w:rsidR="009313AF" w:rsidRDefault="00353177" w:rsidP="00A47B34">
      <w:pPr>
        <w:pStyle w:val="Bullet1"/>
      </w:pPr>
      <w:r>
        <w:t>H</w:t>
      </w:r>
      <w:r w:rsidR="009313AF">
        <w:t>as the independent reviewer made any suggestions or observations, including identifying specific focus areas for the future</w:t>
      </w:r>
      <w:r w:rsidR="00E90D47">
        <w:t>?</w:t>
      </w:r>
      <w:r w:rsidR="009313AF">
        <w:t xml:space="preserve"> </w:t>
      </w:r>
      <w:r w:rsidR="00E90D47">
        <w:t>H</w:t>
      </w:r>
      <w:r w:rsidR="009313AF">
        <w:t>ow</w:t>
      </w:r>
      <w:r w:rsidR="005D516A">
        <w:t xml:space="preserve"> will </w:t>
      </w:r>
      <w:r w:rsidR="009313AF">
        <w:t xml:space="preserve">these be considered and addressed?  </w:t>
      </w:r>
    </w:p>
    <w:p w14:paraId="6C0EC295" w14:textId="4FF1A8F1" w:rsidR="009313AF" w:rsidRDefault="00353177" w:rsidP="00A47B34">
      <w:pPr>
        <w:pStyle w:val="Bullet1"/>
      </w:pPr>
      <w:r>
        <w:t>H</w:t>
      </w:r>
      <w:r w:rsidR="009313AF">
        <w:t>as the review process identified any gaps in terms</w:t>
      </w:r>
      <w:r w:rsidR="005D516A">
        <w:t xml:space="preserve"> </w:t>
      </w:r>
      <w:r w:rsidR="009313AF">
        <w:t>of evidence that was not readily available</w:t>
      </w:r>
      <w:r w:rsidR="00E90D47">
        <w:t>? H</w:t>
      </w:r>
      <w:r w:rsidR="009313AF">
        <w:t>ow can this be addressed in</w:t>
      </w:r>
      <w:r w:rsidR="00E90D47">
        <w:t xml:space="preserve"> the</w:t>
      </w:r>
      <w:r w:rsidR="009313AF">
        <w:t xml:space="preserve"> future?</w:t>
      </w:r>
    </w:p>
    <w:p w14:paraId="0D4BCFD5" w14:textId="1E263537" w:rsidR="009313AF" w:rsidRDefault="00353177" w:rsidP="00A47B34">
      <w:pPr>
        <w:pStyle w:val="Bullet1"/>
      </w:pPr>
      <w:r>
        <w:t>D</w:t>
      </w:r>
      <w:r w:rsidR="009313AF">
        <w:t xml:space="preserve">oes the report provide enough </w:t>
      </w:r>
      <w:r>
        <w:t xml:space="preserve">information, </w:t>
      </w:r>
      <w:r w:rsidR="009313AF">
        <w:t>or would it be beneficial to meet with the reviewer to discuss the findings in more detail?</w:t>
      </w:r>
    </w:p>
    <w:p w14:paraId="4590DED9" w14:textId="18CF217E" w:rsidR="009313AF" w:rsidRDefault="00353177" w:rsidP="00A47B34">
      <w:pPr>
        <w:pStyle w:val="Bullet1"/>
      </w:pPr>
      <w:r>
        <w:t>W</w:t>
      </w:r>
      <w:r w:rsidR="009313AF">
        <w:t>hat has been learned from undertaking this review and what could be done differently</w:t>
      </w:r>
      <w:r w:rsidR="00EE6788">
        <w:t xml:space="preserve"> in the future </w:t>
      </w:r>
      <w:r w:rsidR="009313AF">
        <w:t xml:space="preserve">to improve the process and the outcome? </w:t>
      </w:r>
    </w:p>
    <w:p w14:paraId="2C69DF76" w14:textId="23BB7E6F" w:rsidR="00A34F7F" w:rsidRPr="00A902EE" w:rsidRDefault="00A902EE" w:rsidP="00A47B34">
      <w:pPr>
        <w:pStyle w:val="Bullet1"/>
      </w:pPr>
      <w:r>
        <w:t>If an</w:t>
      </w:r>
      <w:r w:rsidR="00A34F7F" w:rsidRPr="00A902EE">
        <w:t xml:space="preserve"> expert has suggested changes or improvements, </w:t>
      </w:r>
      <w:r>
        <w:t>could the expert be</w:t>
      </w:r>
      <w:r w:rsidR="00A34F7F" w:rsidRPr="00A902EE">
        <w:t xml:space="preserve"> engag</w:t>
      </w:r>
      <w:r>
        <w:t>ed</w:t>
      </w:r>
      <w:r w:rsidR="00A34F7F" w:rsidRPr="00A902EE">
        <w:t xml:space="preserve"> to undertake a secondary review to assess</w:t>
      </w:r>
      <w:r>
        <w:t xml:space="preserve"> how successfully those changes have been implemented? </w:t>
      </w:r>
    </w:p>
    <w:p w14:paraId="0243D054" w14:textId="2FA02BFE" w:rsidR="009C56E5" w:rsidRDefault="006F2074" w:rsidP="00A47B34">
      <w:pPr>
        <w:pStyle w:val="Bullet1"/>
      </w:pPr>
      <w:r w:rsidRPr="00A902EE">
        <w:t xml:space="preserve">If </w:t>
      </w:r>
      <w:r w:rsidR="00CB4B74" w:rsidRPr="00A902EE">
        <w:t xml:space="preserve">risk </w:t>
      </w:r>
      <w:r w:rsidRPr="00A902EE">
        <w:t>areas have been identified</w:t>
      </w:r>
      <w:r w:rsidR="009C56E5">
        <w:t xml:space="preserve">, how have the issues of </w:t>
      </w:r>
      <w:r w:rsidRPr="00A902EE">
        <w:t>non-compliance</w:t>
      </w:r>
      <w:r w:rsidR="009C56E5">
        <w:t xml:space="preserve"> occurred?</w:t>
      </w:r>
      <w:r w:rsidRPr="00A902EE">
        <w:t xml:space="preserve"> </w:t>
      </w:r>
      <w:r w:rsidR="009C56E5">
        <w:t xml:space="preserve">What steps can be taken to ensure </w:t>
      </w:r>
      <w:r w:rsidRPr="00A902EE">
        <w:t xml:space="preserve">the non-compliance </w:t>
      </w:r>
      <w:r w:rsidR="009C56E5">
        <w:t>is</w:t>
      </w:r>
      <w:r w:rsidRPr="00A902EE">
        <w:t xml:space="preserve"> rectified</w:t>
      </w:r>
      <w:r w:rsidR="009C56E5">
        <w:t xml:space="preserve"> and monitored to ensure risks are appropriately managed in the future?</w:t>
      </w:r>
    </w:p>
    <w:p w14:paraId="038B74A0" w14:textId="4532E81D" w:rsidR="00B468B5" w:rsidRDefault="005C5996" w:rsidP="00A902EE">
      <w:pPr>
        <w:pStyle w:val="Heading3"/>
      </w:pPr>
      <w:r>
        <w:t>What</w:t>
      </w:r>
      <w:r w:rsidR="00A47B34">
        <w:t xml:space="preserve"> does</w:t>
      </w:r>
      <w:r>
        <w:t xml:space="preserve"> TEQSA</w:t>
      </w:r>
      <w:r w:rsidR="00FA5F3F">
        <w:t xml:space="preserve"> </w:t>
      </w:r>
      <w:r>
        <w:t>look for</w:t>
      </w:r>
      <w:r w:rsidR="00A47B34">
        <w:t>?</w:t>
      </w:r>
    </w:p>
    <w:p w14:paraId="6E2DAB80" w14:textId="27F8C6D9" w:rsidR="0095270E" w:rsidRDefault="00CB4B74" w:rsidP="00B4346A">
      <w:r>
        <w:t xml:space="preserve">When a provider has submitted evidence of an independent review for consideration in a regulatory process, </w:t>
      </w:r>
      <w:r w:rsidR="0095270E">
        <w:t xml:space="preserve">TEQSA will </w:t>
      </w:r>
      <w:r w:rsidR="00A47B34">
        <w:t>consider:</w:t>
      </w:r>
    </w:p>
    <w:p w14:paraId="38018FF5" w14:textId="33AE4C0E" w:rsidR="0095270E" w:rsidRDefault="00A47B34" w:rsidP="00A902EE">
      <w:pPr>
        <w:pStyle w:val="Bullet1"/>
      </w:pPr>
      <w:r>
        <w:t>T</w:t>
      </w:r>
      <w:r w:rsidR="00E90D47">
        <w:t>he</w:t>
      </w:r>
      <w:r w:rsidR="005D516A">
        <w:t xml:space="preserve"> </w:t>
      </w:r>
      <w:r w:rsidR="00E90D47">
        <w:t>finalised</w:t>
      </w:r>
      <w:r w:rsidR="000730E3">
        <w:t xml:space="preserve"> review</w:t>
      </w:r>
      <w:r w:rsidR="005D516A">
        <w:t xml:space="preserve"> </w:t>
      </w:r>
      <w:r w:rsidR="0095270E">
        <w:t xml:space="preserve">complete with </w:t>
      </w:r>
      <w:r w:rsidR="005D516A">
        <w:t>terms o</w:t>
      </w:r>
      <w:r w:rsidR="008269CD">
        <w:t>f</w:t>
      </w:r>
      <w:r w:rsidR="005D516A">
        <w:t xml:space="preserve"> reference, review report</w:t>
      </w:r>
      <w:r w:rsidR="000730E3">
        <w:t>s</w:t>
      </w:r>
      <w:r w:rsidR="00B25456">
        <w:t xml:space="preserve"> and </w:t>
      </w:r>
      <w:r w:rsidR="008269CD">
        <w:t>the provider’s respons</w:t>
      </w:r>
      <w:r>
        <w:t>e;</w:t>
      </w:r>
      <w:r w:rsidR="008269CD">
        <w:t xml:space="preserve"> including</w:t>
      </w:r>
      <w:r w:rsidR="007657A1">
        <w:t xml:space="preserve"> meaningful and detailed</w:t>
      </w:r>
      <w:r w:rsidR="008269CD">
        <w:t xml:space="preserve"> actions taken to address recommendations</w:t>
      </w:r>
    </w:p>
    <w:p w14:paraId="2B8B554D" w14:textId="4D4F3AA6" w:rsidR="008269CD" w:rsidRDefault="00A47B34" w:rsidP="00A902EE">
      <w:pPr>
        <w:pStyle w:val="Bullet1"/>
      </w:pPr>
      <w:r>
        <w:t>E</w:t>
      </w:r>
      <w:r w:rsidR="0095270E">
        <w:t>vidence that</w:t>
      </w:r>
      <w:r w:rsidR="00630032">
        <w:t xml:space="preserve"> </w:t>
      </w:r>
      <w:r w:rsidR="00F728FE">
        <w:t>the re</w:t>
      </w:r>
      <w:r w:rsidR="005920FC">
        <w:t>levant committees/bodies have</w:t>
      </w:r>
      <w:r w:rsidR="0095270E">
        <w:t xml:space="preserve"> considered the recommendations of the experts</w:t>
      </w:r>
    </w:p>
    <w:p w14:paraId="0FD7DC3C" w14:textId="19163E99" w:rsidR="000730E3" w:rsidRDefault="00A47B34" w:rsidP="00A902EE">
      <w:pPr>
        <w:pStyle w:val="Bullet1"/>
      </w:pPr>
      <w:r>
        <w:t>E</w:t>
      </w:r>
      <w:r w:rsidR="0095270E">
        <w:t>vidence that the Governing Body has considered any additional resourcing that might be required to address issues identified by the external experts.</w:t>
      </w:r>
    </w:p>
    <w:p w14:paraId="357F4601" w14:textId="5E7A1AC6" w:rsidR="00F94557" w:rsidRDefault="00E23F55" w:rsidP="004A0868">
      <w:r>
        <w:t xml:space="preserve">Successful independent reviews can also have additional benefits. For </w:t>
      </w:r>
      <w:proofErr w:type="gramStart"/>
      <w:r>
        <w:t>example</w:t>
      </w:r>
      <w:proofErr w:type="gramEnd"/>
      <w:r>
        <w:t xml:space="preserve"> an in</w:t>
      </w:r>
      <w:r w:rsidR="00454FB1">
        <w:t>dependent Course Review that is</w:t>
      </w:r>
      <w:r w:rsidR="00F94557">
        <w:t>:</w:t>
      </w:r>
    </w:p>
    <w:p w14:paraId="5ADC9CE6" w14:textId="77777777" w:rsidR="00F94557" w:rsidRDefault="00454FB1" w:rsidP="00F94557">
      <w:pPr>
        <w:pStyle w:val="Bullet1"/>
      </w:pPr>
      <w:r>
        <w:t>well-</w:t>
      </w:r>
      <w:r w:rsidR="00F312D7" w:rsidRPr="007D6E6E">
        <w:t>scope</w:t>
      </w:r>
      <w:r>
        <w:t>d</w:t>
      </w:r>
    </w:p>
    <w:p w14:paraId="4AAF0A1A" w14:textId="77777777" w:rsidR="00F94557" w:rsidRDefault="00454FB1" w:rsidP="00F94557">
      <w:pPr>
        <w:pStyle w:val="Bullet1"/>
      </w:pPr>
      <w:r>
        <w:t>conducted</w:t>
      </w:r>
      <w:r w:rsidR="00F312D7" w:rsidRPr="007D6E6E">
        <w:t xml:space="preserve"> by a suitable independent reviewer</w:t>
      </w:r>
    </w:p>
    <w:p w14:paraId="20B5F447" w14:textId="77777777" w:rsidR="00F94557" w:rsidRDefault="00613593" w:rsidP="00F94557">
      <w:pPr>
        <w:pStyle w:val="Bullet1"/>
      </w:pPr>
      <w:r>
        <w:t xml:space="preserve">clearly demonstrates that </w:t>
      </w:r>
      <w:r w:rsidR="004E7C93" w:rsidRPr="007D6E6E">
        <w:t xml:space="preserve">findings or recommendations </w:t>
      </w:r>
      <w:r>
        <w:t xml:space="preserve">have been </w:t>
      </w:r>
      <w:r w:rsidR="004E7C93" w:rsidRPr="007D6E6E">
        <w:t>considered</w:t>
      </w:r>
      <w:r w:rsidR="00F94557">
        <w:t xml:space="preserve">, </w:t>
      </w:r>
      <w:r w:rsidR="004E7C93" w:rsidRPr="007D6E6E">
        <w:t>acted upon</w:t>
      </w:r>
      <w:r w:rsidR="00F94557">
        <w:t xml:space="preserve"> and improvements documented, and </w:t>
      </w:r>
    </w:p>
    <w:p w14:paraId="17898BE1" w14:textId="67A9B7C7" w:rsidR="00F94557" w:rsidRDefault="00F94557" w:rsidP="00F94557">
      <w:pPr>
        <w:pStyle w:val="Bullet1"/>
      </w:pPr>
      <w:r>
        <w:t>shows Academic Board oversight</w:t>
      </w:r>
      <w:r w:rsidR="00954AE9">
        <w:t>,</w:t>
      </w:r>
    </w:p>
    <w:p w14:paraId="4D6CD8EE" w14:textId="79E0F335" w:rsidR="00A47B34" w:rsidRDefault="00F312D7" w:rsidP="004A0868">
      <w:r w:rsidRPr="007D6E6E">
        <w:t xml:space="preserve">will carry significant weight when TEQSA is considering the quality of </w:t>
      </w:r>
      <w:r w:rsidR="00B25456">
        <w:t xml:space="preserve">academic </w:t>
      </w:r>
      <w:r w:rsidRPr="007D6E6E">
        <w:t>governance</w:t>
      </w:r>
      <w:r w:rsidR="004E7C93">
        <w:t xml:space="preserve"> in a provider</w:t>
      </w:r>
      <w:r w:rsidRPr="007D6E6E">
        <w:t>.</w:t>
      </w:r>
    </w:p>
    <w:p w14:paraId="4EB46FDC" w14:textId="419B3C35" w:rsidR="00E90D47" w:rsidRDefault="00B25456" w:rsidP="004A0868">
      <w:r>
        <w:t xml:space="preserve">This </w:t>
      </w:r>
      <w:r w:rsidR="008269CD">
        <w:t>could</w:t>
      </w:r>
      <w:r>
        <w:t xml:space="preserve"> reduce assessment timeframes</w:t>
      </w:r>
      <w:r w:rsidR="0095270E">
        <w:t xml:space="preserve"> in some circumstances </w:t>
      </w:r>
      <w:r>
        <w:t>as</w:t>
      </w:r>
      <w:r w:rsidR="008269CD">
        <w:t>, depending on the suitability of the experts engaged, the findings of the review, and how the provider has actioned</w:t>
      </w:r>
      <w:r w:rsidR="009F69D0">
        <w:t xml:space="preserve"> </w:t>
      </w:r>
      <w:r w:rsidR="008269CD">
        <w:t>improvements,</w:t>
      </w:r>
      <w:r>
        <w:t xml:space="preserve"> TEQSA </w:t>
      </w:r>
      <w:r w:rsidR="008269CD">
        <w:t>may elect not to</w:t>
      </w:r>
      <w:r>
        <w:t xml:space="preserve"> engage </w:t>
      </w:r>
      <w:r w:rsidR="009F20C6">
        <w:t xml:space="preserve">its </w:t>
      </w:r>
      <w:r>
        <w:t xml:space="preserve">own independent expert </w:t>
      </w:r>
      <w:r w:rsidR="00D63B39">
        <w:t xml:space="preserve">to undertake a </w:t>
      </w:r>
      <w:r>
        <w:t>review.</w:t>
      </w:r>
    </w:p>
    <w:p w14:paraId="24143D74" w14:textId="7674FE5A" w:rsidR="00AC0AF1" w:rsidRPr="00F86B3C" w:rsidRDefault="00AC0AF1" w:rsidP="00B8281D">
      <w:pPr>
        <w:pStyle w:val="BodyText"/>
        <w:spacing w:before="120" w:after="120"/>
        <w:ind w:right="104"/>
      </w:pPr>
    </w:p>
    <w:sectPr w:rsidR="00AC0AF1" w:rsidRPr="00F86B3C" w:rsidSect="00054DA3">
      <w:headerReference w:type="default" r:id="rId13"/>
      <w:footerReference w:type="default" r:id="rId14"/>
      <w:pgSz w:w="11910" w:h="16840"/>
      <w:pgMar w:top="1560" w:right="860" w:bottom="800" w:left="1340" w:header="566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B4E4" w14:textId="77777777" w:rsidR="006F6577" w:rsidRDefault="006F6577" w:rsidP="006C328D">
      <w:pPr>
        <w:spacing w:before="0" w:after="0"/>
      </w:pPr>
      <w:r>
        <w:separator/>
      </w:r>
    </w:p>
  </w:endnote>
  <w:endnote w:type="continuationSeparator" w:id="0">
    <w:p w14:paraId="45F6BB4A" w14:textId="77777777" w:rsidR="006F6577" w:rsidRDefault="006F6577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MV Bol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EE72B4" w14:textId="47A05CA3" w:rsidR="00FF2540" w:rsidRPr="00FF2540" w:rsidRDefault="00804DCA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>
              <w:rPr>
                <w:color w:val="00847E" w:themeColor="accent1"/>
                <w:sz w:val="20"/>
                <w:szCs w:val="20"/>
              </w:rPr>
              <w:t>April 2022</w:t>
            </w:r>
            <w:r>
              <w:rPr>
                <w:color w:val="00847E" w:themeColor="accent1"/>
                <w:sz w:val="20"/>
                <w:szCs w:val="20"/>
              </w:rPr>
              <w:tab/>
            </w:r>
            <w:r>
              <w:rPr>
                <w:color w:val="00847E" w:themeColor="accent1"/>
                <w:sz w:val="20"/>
                <w:szCs w:val="20"/>
              </w:rPr>
              <w:tab/>
            </w:r>
            <w:r w:rsidR="00FF2540" w:rsidRPr="00FF2540">
              <w:rPr>
                <w:color w:val="00847E" w:themeColor="accent1"/>
                <w:sz w:val="20"/>
                <w:szCs w:val="20"/>
              </w:rPr>
              <w:t xml:space="preserve">Page 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C310FB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7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="00FF2540" w:rsidRPr="00FF2540">
              <w:rPr>
                <w:color w:val="00847E" w:themeColor="accent1"/>
                <w:sz w:val="20"/>
                <w:szCs w:val="20"/>
              </w:rPr>
              <w:t xml:space="preserve"> of 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C310FB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7</w:t>
            </w:r>
            <w:r w:rsidR="00FF2540"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  <w:p w14:paraId="33B30D6D" w14:textId="312DFDE1" w:rsidR="00FF2540" w:rsidRDefault="00FF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1876" w14:textId="77777777" w:rsidR="006F6577" w:rsidRDefault="006F6577" w:rsidP="006C328D">
      <w:pPr>
        <w:spacing w:before="0" w:after="0"/>
      </w:pPr>
      <w:r>
        <w:separator/>
      </w:r>
    </w:p>
  </w:footnote>
  <w:footnote w:type="continuationSeparator" w:id="0">
    <w:p w14:paraId="02017D12" w14:textId="77777777" w:rsidR="006F6577" w:rsidRDefault="006F6577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2B1F" w14:textId="77777777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val="en-US"/>
      </w:rPr>
      <w:drawing>
        <wp:inline distT="0" distB="0" distL="0" distR="0" wp14:anchorId="67671CD5" wp14:editId="79CA079E">
          <wp:extent cx="3228975" cy="476067"/>
          <wp:effectExtent l="0" t="0" r="0" b="635"/>
          <wp:docPr id="7" name="Picture 7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val="en-US"/>
      </w:rPr>
      <w:drawing>
        <wp:inline distT="0" distB="0" distL="0" distR="0" wp14:anchorId="56933C59" wp14:editId="697EF739">
          <wp:extent cx="1428750" cy="353174"/>
          <wp:effectExtent l="0" t="0" r="0" b="8890"/>
          <wp:docPr id="8" name="Picture 8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in;height:37pt" o:bullet="t">
        <v:imagedata r:id="rId1" o:title="Teal-Triangles"/>
      </v:shape>
    </w:pict>
  </w:numPicBullet>
  <w:numPicBullet w:numPicBulletId="1">
    <w:pict>
      <v:shape id="_x0000_i1054" type="#_x0000_t75" style="width:1in;height:37pt" o:bullet="t">
        <v:imagedata r:id="rId2" o:title="Pink-Triangles"/>
      </v:shape>
    </w:pict>
  </w:numPicBullet>
  <w:numPicBullet w:numPicBulletId="2">
    <w:pict>
      <v:shape id="_x0000_i1055" type="#_x0000_t75" style="width:1in;height:37pt" o:bullet="t">
        <v:imagedata r:id="rId3" o:title="Yellow-Triangles"/>
      </v:shape>
    </w:pict>
  </w:numPicBullet>
  <w:abstractNum w:abstractNumId="0" w15:restartNumberingAfterBreak="0">
    <w:nsid w:val="0214688B"/>
    <w:multiLevelType w:val="hybridMultilevel"/>
    <w:tmpl w:val="C564041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D116B"/>
    <w:multiLevelType w:val="hybridMultilevel"/>
    <w:tmpl w:val="B680F314"/>
    <w:lvl w:ilvl="0" w:tplc="EE56FA5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color w:val="auto"/>
        <w:spacing w:val="-1"/>
        <w:w w:val="99"/>
        <w:sz w:val="22"/>
        <w:szCs w:val="22"/>
      </w:rPr>
    </w:lvl>
    <w:lvl w:ilvl="1" w:tplc="E4FC58D6">
      <w:start w:val="1"/>
      <w:numFmt w:val="lowerLetter"/>
      <w:lvlText w:val="%2."/>
      <w:lvlJc w:val="left"/>
      <w:pPr>
        <w:ind w:left="1233" w:hanging="35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C9C3E16">
      <w:numFmt w:val="bullet"/>
      <w:lvlText w:val="•"/>
      <w:lvlJc w:val="left"/>
      <w:pPr>
        <w:ind w:left="2127" w:hanging="356"/>
      </w:pPr>
      <w:rPr>
        <w:rFonts w:hint="default"/>
      </w:rPr>
    </w:lvl>
    <w:lvl w:ilvl="3" w:tplc="1AF0C8E2">
      <w:numFmt w:val="bullet"/>
      <w:lvlText w:val="•"/>
      <w:lvlJc w:val="left"/>
      <w:pPr>
        <w:ind w:left="3014" w:hanging="356"/>
      </w:pPr>
      <w:rPr>
        <w:rFonts w:hint="default"/>
      </w:rPr>
    </w:lvl>
    <w:lvl w:ilvl="4" w:tplc="21F636CC">
      <w:numFmt w:val="bullet"/>
      <w:lvlText w:val="•"/>
      <w:lvlJc w:val="left"/>
      <w:pPr>
        <w:ind w:left="3902" w:hanging="356"/>
      </w:pPr>
      <w:rPr>
        <w:rFonts w:hint="default"/>
      </w:rPr>
    </w:lvl>
    <w:lvl w:ilvl="5" w:tplc="BF522FA0">
      <w:numFmt w:val="bullet"/>
      <w:lvlText w:val="•"/>
      <w:lvlJc w:val="left"/>
      <w:pPr>
        <w:ind w:left="4789" w:hanging="356"/>
      </w:pPr>
      <w:rPr>
        <w:rFonts w:hint="default"/>
      </w:rPr>
    </w:lvl>
    <w:lvl w:ilvl="6" w:tplc="6486EC78">
      <w:numFmt w:val="bullet"/>
      <w:lvlText w:val="•"/>
      <w:lvlJc w:val="left"/>
      <w:pPr>
        <w:ind w:left="5676" w:hanging="356"/>
      </w:pPr>
      <w:rPr>
        <w:rFonts w:hint="default"/>
      </w:rPr>
    </w:lvl>
    <w:lvl w:ilvl="7" w:tplc="6E0C493E">
      <w:numFmt w:val="bullet"/>
      <w:lvlText w:val="•"/>
      <w:lvlJc w:val="left"/>
      <w:pPr>
        <w:ind w:left="6564" w:hanging="356"/>
      </w:pPr>
      <w:rPr>
        <w:rFonts w:hint="default"/>
      </w:rPr>
    </w:lvl>
    <w:lvl w:ilvl="8" w:tplc="5F4A20DC">
      <w:numFmt w:val="bullet"/>
      <w:lvlText w:val="•"/>
      <w:lvlJc w:val="left"/>
      <w:pPr>
        <w:ind w:left="7451" w:hanging="356"/>
      </w:pPr>
      <w:rPr>
        <w:rFonts w:hint="default"/>
      </w:rPr>
    </w:lvl>
  </w:abstractNum>
  <w:abstractNum w:abstractNumId="2" w15:restartNumberingAfterBreak="0">
    <w:nsid w:val="10845553"/>
    <w:multiLevelType w:val="hybridMultilevel"/>
    <w:tmpl w:val="5338F1CA"/>
    <w:lvl w:ilvl="0" w:tplc="BB6498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847E" w:themeColor="accen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832C33"/>
    <w:multiLevelType w:val="hybridMultilevel"/>
    <w:tmpl w:val="ADAE6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4F6A"/>
    <w:multiLevelType w:val="hybridMultilevel"/>
    <w:tmpl w:val="20FCC0A8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64D2"/>
    <w:multiLevelType w:val="hybridMultilevel"/>
    <w:tmpl w:val="15B290F6"/>
    <w:lvl w:ilvl="0" w:tplc="266C4E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4F7"/>
    <w:multiLevelType w:val="multilevel"/>
    <w:tmpl w:val="6E70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CE62F1"/>
    <w:multiLevelType w:val="hybridMultilevel"/>
    <w:tmpl w:val="FBCEAFCC"/>
    <w:lvl w:ilvl="0" w:tplc="C0AC05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12B0"/>
    <w:multiLevelType w:val="hybridMultilevel"/>
    <w:tmpl w:val="2D6853BE"/>
    <w:lvl w:ilvl="0" w:tplc="BB6498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847E" w:themeColor="accen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2C646C"/>
    <w:multiLevelType w:val="hybridMultilevel"/>
    <w:tmpl w:val="DB920F4C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582B"/>
    <w:multiLevelType w:val="hybridMultilevel"/>
    <w:tmpl w:val="82743AB6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232"/>
    <w:multiLevelType w:val="hybridMultilevel"/>
    <w:tmpl w:val="97948822"/>
    <w:lvl w:ilvl="0" w:tplc="98C8BBF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22902108"/>
    <w:multiLevelType w:val="hybridMultilevel"/>
    <w:tmpl w:val="9B4648F0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02DA5"/>
    <w:multiLevelType w:val="hybridMultilevel"/>
    <w:tmpl w:val="90C696D6"/>
    <w:lvl w:ilvl="0" w:tplc="C0AC05FC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F3457"/>
    <w:multiLevelType w:val="hybridMultilevel"/>
    <w:tmpl w:val="35EE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F4253"/>
    <w:multiLevelType w:val="hybridMultilevel"/>
    <w:tmpl w:val="393AD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59725F5"/>
    <w:multiLevelType w:val="hybridMultilevel"/>
    <w:tmpl w:val="D2A0D2F6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33BCF"/>
    <w:multiLevelType w:val="hybridMultilevel"/>
    <w:tmpl w:val="51EE8EB6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346CC"/>
    <w:multiLevelType w:val="hybridMultilevel"/>
    <w:tmpl w:val="465214D2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71E0E"/>
    <w:multiLevelType w:val="hybridMultilevel"/>
    <w:tmpl w:val="BE10EF46"/>
    <w:lvl w:ilvl="0" w:tplc="C0AC05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93D61"/>
    <w:multiLevelType w:val="multilevel"/>
    <w:tmpl w:val="C646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77E87"/>
    <w:multiLevelType w:val="hybridMultilevel"/>
    <w:tmpl w:val="BF4EAF44"/>
    <w:lvl w:ilvl="0" w:tplc="BB64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7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60F10"/>
    <w:multiLevelType w:val="hybridMultilevel"/>
    <w:tmpl w:val="4560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77586"/>
    <w:multiLevelType w:val="hybridMultilevel"/>
    <w:tmpl w:val="A9301DF0"/>
    <w:lvl w:ilvl="0" w:tplc="E99C8D5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color w:val="003A45"/>
        <w:spacing w:val="-1"/>
        <w:w w:val="99"/>
        <w:sz w:val="20"/>
        <w:szCs w:val="20"/>
      </w:rPr>
    </w:lvl>
    <w:lvl w:ilvl="1" w:tplc="593CB464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FAA89E04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92568FC8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5B88D65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1E07C0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1AEC1A0C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ACDACC18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71EE1486"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29" w15:restartNumberingAfterBreak="0">
    <w:nsid w:val="529612B8"/>
    <w:multiLevelType w:val="hybridMultilevel"/>
    <w:tmpl w:val="9244AFE8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B55358"/>
    <w:multiLevelType w:val="hybridMultilevel"/>
    <w:tmpl w:val="4C18C6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9264678"/>
    <w:multiLevelType w:val="hybridMultilevel"/>
    <w:tmpl w:val="615A1FF4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C5542"/>
    <w:multiLevelType w:val="hybridMultilevel"/>
    <w:tmpl w:val="07280B54"/>
    <w:lvl w:ilvl="0" w:tplc="BA7E05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3C5B57"/>
    <w:multiLevelType w:val="hybridMultilevel"/>
    <w:tmpl w:val="DA5C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0227B"/>
    <w:multiLevelType w:val="hybridMultilevel"/>
    <w:tmpl w:val="70CCC140"/>
    <w:lvl w:ilvl="0" w:tplc="CE16B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907D4"/>
    <w:multiLevelType w:val="hybridMultilevel"/>
    <w:tmpl w:val="F5F8E040"/>
    <w:lvl w:ilvl="0" w:tplc="BA7E0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A4B"/>
    <w:multiLevelType w:val="hybridMultilevel"/>
    <w:tmpl w:val="01102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F17DE"/>
    <w:multiLevelType w:val="hybridMultilevel"/>
    <w:tmpl w:val="FFD433D6"/>
    <w:lvl w:ilvl="0" w:tplc="0220CDC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color w:val="auto"/>
        <w:spacing w:val="-1"/>
        <w:w w:val="99"/>
        <w:sz w:val="22"/>
        <w:szCs w:val="22"/>
      </w:rPr>
    </w:lvl>
    <w:lvl w:ilvl="1" w:tplc="68A632E8">
      <w:start w:val="1"/>
      <w:numFmt w:val="lowerLetter"/>
      <w:lvlText w:val="%2."/>
      <w:lvlJc w:val="left"/>
      <w:pPr>
        <w:ind w:left="123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AD86EA4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067E76F6"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3B464ABA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40382F98">
      <w:numFmt w:val="bullet"/>
      <w:lvlText w:val="•"/>
      <w:lvlJc w:val="left"/>
      <w:pPr>
        <w:ind w:left="4789" w:hanging="360"/>
      </w:pPr>
      <w:rPr>
        <w:rFonts w:hint="default"/>
      </w:rPr>
    </w:lvl>
    <w:lvl w:ilvl="6" w:tplc="3EB8A11C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4B2C5258"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74F4237E"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42" w15:restartNumberingAfterBreak="0">
    <w:nsid w:val="757132A0"/>
    <w:multiLevelType w:val="hybridMultilevel"/>
    <w:tmpl w:val="C190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17D21"/>
    <w:multiLevelType w:val="hybridMultilevel"/>
    <w:tmpl w:val="56E881D8"/>
    <w:lvl w:ilvl="0" w:tplc="BA7E050C">
      <w:numFmt w:val="bullet"/>
      <w:lvlText w:val=""/>
      <w:lvlJc w:val="left"/>
      <w:pPr>
        <w:ind w:left="833" w:hanging="356"/>
      </w:pPr>
      <w:rPr>
        <w:rFonts w:ascii="Symbol" w:eastAsia="Symbol" w:hAnsi="Symbol" w:cs="Symbol" w:hint="default"/>
        <w:color w:val="00A6AA"/>
        <w:w w:val="100"/>
        <w:sz w:val="22"/>
        <w:szCs w:val="22"/>
      </w:rPr>
    </w:lvl>
    <w:lvl w:ilvl="1" w:tplc="F98C3702">
      <w:numFmt w:val="bullet"/>
      <w:lvlText w:val="•"/>
      <w:lvlJc w:val="left"/>
      <w:pPr>
        <w:ind w:left="1680" w:hanging="356"/>
      </w:pPr>
      <w:rPr>
        <w:rFonts w:hint="default"/>
      </w:rPr>
    </w:lvl>
    <w:lvl w:ilvl="2" w:tplc="90D6CD3C">
      <w:numFmt w:val="bullet"/>
      <w:lvlText w:val="•"/>
      <w:lvlJc w:val="left"/>
      <w:pPr>
        <w:ind w:left="2521" w:hanging="356"/>
      </w:pPr>
      <w:rPr>
        <w:rFonts w:hint="default"/>
      </w:rPr>
    </w:lvl>
    <w:lvl w:ilvl="3" w:tplc="24F8A10E">
      <w:numFmt w:val="bullet"/>
      <w:lvlText w:val="•"/>
      <w:lvlJc w:val="left"/>
      <w:pPr>
        <w:ind w:left="3361" w:hanging="356"/>
      </w:pPr>
      <w:rPr>
        <w:rFonts w:hint="default"/>
      </w:rPr>
    </w:lvl>
    <w:lvl w:ilvl="4" w:tplc="1B54EB94">
      <w:numFmt w:val="bullet"/>
      <w:lvlText w:val="•"/>
      <w:lvlJc w:val="left"/>
      <w:pPr>
        <w:ind w:left="4202" w:hanging="356"/>
      </w:pPr>
      <w:rPr>
        <w:rFonts w:hint="default"/>
      </w:rPr>
    </w:lvl>
    <w:lvl w:ilvl="5" w:tplc="348437EA">
      <w:numFmt w:val="bullet"/>
      <w:lvlText w:val="•"/>
      <w:lvlJc w:val="left"/>
      <w:pPr>
        <w:ind w:left="5043" w:hanging="356"/>
      </w:pPr>
      <w:rPr>
        <w:rFonts w:hint="default"/>
      </w:rPr>
    </w:lvl>
    <w:lvl w:ilvl="6" w:tplc="5F1879E2">
      <w:numFmt w:val="bullet"/>
      <w:lvlText w:val="•"/>
      <w:lvlJc w:val="left"/>
      <w:pPr>
        <w:ind w:left="5883" w:hanging="356"/>
      </w:pPr>
      <w:rPr>
        <w:rFonts w:hint="default"/>
      </w:rPr>
    </w:lvl>
    <w:lvl w:ilvl="7" w:tplc="60F62BD4">
      <w:numFmt w:val="bullet"/>
      <w:lvlText w:val="•"/>
      <w:lvlJc w:val="left"/>
      <w:pPr>
        <w:ind w:left="6724" w:hanging="356"/>
      </w:pPr>
      <w:rPr>
        <w:rFonts w:hint="default"/>
      </w:rPr>
    </w:lvl>
    <w:lvl w:ilvl="8" w:tplc="DC7060FA">
      <w:numFmt w:val="bullet"/>
      <w:lvlText w:val="•"/>
      <w:lvlJc w:val="left"/>
      <w:pPr>
        <w:ind w:left="7565" w:hanging="356"/>
      </w:pPr>
      <w:rPr>
        <w:rFonts w:hint="default"/>
      </w:rPr>
    </w:lvl>
  </w:abstractNum>
  <w:abstractNum w:abstractNumId="44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5" w15:restartNumberingAfterBreak="0">
    <w:nsid w:val="7B3B4F27"/>
    <w:multiLevelType w:val="hybridMultilevel"/>
    <w:tmpl w:val="BD40E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19"/>
  </w:num>
  <w:num w:numId="4">
    <w:abstractNumId w:val="36"/>
  </w:num>
  <w:num w:numId="5">
    <w:abstractNumId w:val="35"/>
  </w:num>
  <w:num w:numId="6">
    <w:abstractNumId w:val="31"/>
  </w:num>
  <w:num w:numId="7">
    <w:abstractNumId w:val="14"/>
  </w:num>
  <w:num w:numId="8">
    <w:abstractNumId w:val="17"/>
  </w:num>
  <w:num w:numId="9">
    <w:abstractNumId w:val="18"/>
  </w:num>
  <w:num w:numId="10">
    <w:abstractNumId w:val="33"/>
  </w:num>
  <w:num w:numId="11">
    <w:abstractNumId w:val="23"/>
  </w:num>
  <w:num w:numId="12">
    <w:abstractNumId w:val="28"/>
  </w:num>
  <w:num w:numId="13">
    <w:abstractNumId w:val="41"/>
  </w:num>
  <w:num w:numId="14">
    <w:abstractNumId w:val="1"/>
  </w:num>
  <w:num w:numId="15">
    <w:abstractNumId w:val="4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4"/>
  </w:num>
  <w:num w:numId="22">
    <w:abstractNumId w:val="22"/>
  </w:num>
  <w:num w:numId="23">
    <w:abstractNumId w:val="7"/>
  </w:num>
  <w:num w:numId="24">
    <w:abstractNumId w:val="29"/>
  </w:num>
  <w:num w:numId="25">
    <w:abstractNumId w:val="0"/>
  </w:num>
  <w:num w:numId="26">
    <w:abstractNumId w:val="11"/>
  </w:num>
  <w:num w:numId="27">
    <w:abstractNumId w:val="12"/>
  </w:num>
  <w:num w:numId="28">
    <w:abstractNumId w:val="5"/>
  </w:num>
  <w:num w:numId="29">
    <w:abstractNumId w:val="13"/>
  </w:num>
  <w:num w:numId="30">
    <w:abstractNumId w:val="15"/>
  </w:num>
  <w:num w:numId="31">
    <w:abstractNumId w:val="24"/>
  </w:num>
  <w:num w:numId="32">
    <w:abstractNumId w:val="20"/>
  </w:num>
  <w:num w:numId="33">
    <w:abstractNumId w:val="39"/>
  </w:num>
  <w:num w:numId="34">
    <w:abstractNumId w:val="21"/>
  </w:num>
  <w:num w:numId="35">
    <w:abstractNumId w:val="37"/>
  </w:num>
  <w:num w:numId="36">
    <w:abstractNumId w:val="30"/>
  </w:num>
  <w:num w:numId="37">
    <w:abstractNumId w:val="42"/>
  </w:num>
  <w:num w:numId="38">
    <w:abstractNumId w:val="32"/>
  </w:num>
  <w:num w:numId="39">
    <w:abstractNumId w:val="26"/>
  </w:num>
  <w:num w:numId="40">
    <w:abstractNumId w:val="8"/>
  </w:num>
  <w:num w:numId="41">
    <w:abstractNumId w:val="2"/>
  </w:num>
  <w:num w:numId="42">
    <w:abstractNumId w:val="38"/>
  </w:num>
  <w:num w:numId="43">
    <w:abstractNumId w:val="25"/>
  </w:num>
  <w:num w:numId="44">
    <w:abstractNumId w:val="9"/>
  </w:num>
  <w:num w:numId="45">
    <w:abstractNumId w:val="16"/>
  </w:num>
  <w:num w:numId="46">
    <w:abstractNumId w:val="4"/>
  </w:num>
  <w:num w:numId="47">
    <w:abstractNumId w:val="27"/>
  </w:num>
  <w:num w:numId="48">
    <w:abstractNumId w:val="45"/>
  </w:num>
  <w:num w:numId="49">
    <w:abstractNumId w:val="40"/>
  </w:num>
  <w:num w:numId="5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005B6E"/>
    <w:rsid w:val="000100E7"/>
    <w:rsid w:val="00016584"/>
    <w:rsid w:val="0001667D"/>
    <w:rsid w:val="0002076F"/>
    <w:rsid w:val="00025B2B"/>
    <w:rsid w:val="00031F13"/>
    <w:rsid w:val="0003692B"/>
    <w:rsid w:val="0003722F"/>
    <w:rsid w:val="000476DF"/>
    <w:rsid w:val="00050558"/>
    <w:rsid w:val="00051434"/>
    <w:rsid w:val="00053217"/>
    <w:rsid w:val="00054DA3"/>
    <w:rsid w:val="00063596"/>
    <w:rsid w:val="000635F2"/>
    <w:rsid w:val="000730E3"/>
    <w:rsid w:val="000814C0"/>
    <w:rsid w:val="00084F70"/>
    <w:rsid w:val="00095DB6"/>
    <w:rsid w:val="000A13F7"/>
    <w:rsid w:val="000B3FC1"/>
    <w:rsid w:val="000B569D"/>
    <w:rsid w:val="000B5CA4"/>
    <w:rsid w:val="000B65B7"/>
    <w:rsid w:val="000D1944"/>
    <w:rsid w:val="000D3436"/>
    <w:rsid w:val="000E25E1"/>
    <w:rsid w:val="000E26B9"/>
    <w:rsid w:val="000E30FC"/>
    <w:rsid w:val="000F0E25"/>
    <w:rsid w:val="000F2423"/>
    <w:rsid w:val="000F4D05"/>
    <w:rsid w:val="000F5953"/>
    <w:rsid w:val="000F7121"/>
    <w:rsid w:val="00107AC8"/>
    <w:rsid w:val="0011008E"/>
    <w:rsid w:val="00110D31"/>
    <w:rsid w:val="001142C7"/>
    <w:rsid w:val="001211ED"/>
    <w:rsid w:val="00140D49"/>
    <w:rsid w:val="00143913"/>
    <w:rsid w:val="00147323"/>
    <w:rsid w:val="00150A1E"/>
    <w:rsid w:val="00166B5F"/>
    <w:rsid w:val="00173C06"/>
    <w:rsid w:val="001975EA"/>
    <w:rsid w:val="001A311C"/>
    <w:rsid w:val="001A627C"/>
    <w:rsid w:val="001E081B"/>
    <w:rsid w:val="001F39F5"/>
    <w:rsid w:val="002001A3"/>
    <w:rsid w:val="00226C9E"/>
    <w:rsid w:val="0024464F"/>
    <w:rsid w:val="00252823"/>
    <w:rsid w:val="00254B36"/>
    <w:rsid w:val="00263A9F"/>
    <w:rsid w:val="00273253"/>
    <w:rsid w:val="00277F33"/>
    <w:rsid w:val="0029287C"/>
    <w:rsid w:val="00293D9F"/>
    <w:rsid w:val="00294845"/>
    <w:rsid w:val="002A0974"/>
    <w:rsid w:val="002A2902"/>
    <w:rsid w:val="002B4CA9"/>
    <w:rsid w:val="002B5094"/>
    <w:rsid w:val="002E1C55"/>
    <w:rsid w:val="002E54ED"/>
    <w:rsid w:val="002E694F"/>
    <w:rsid w:val="00312A64"/>
    <w:rsid w:val="00313CD9"/>
    <w:rsid w:val="00314E1E"/>
    <w:rsid w:val="00330F14"/>
    <w:rsid w:val="00331C2F"/>
    <w:rsid w:val="0033626D"/>
    <w:rsid w:val="00343695"/>
    <w:rsid w:val="00343974"/>
    <w:rsid w:val="00353177"/>
    <w:rsid w:val="003543F7"/>
    <w:rsid w:val="003570FE"/>
    <w:rsid w:val="00362C5C"/>
    <w:rsid w:val="0036594F"/>
    <w:rsid w:val="003735E4"/>
    <w:rsid w:val="0038677E"/>
    <w:rsid w:val="003B060A"/>
    <w:rsid w:val="003B5FA1"/>
    <w:rsid w:val="003D210A"/>
    <w:rsid w:val="003F7C7A"/>
    <w:rsid w:val="0040696D"/>
    <w:rsid w:val="00416529"/>
    <w:rsid w:val="00422590"/>
    <w:rsid w:val="00430AAD"/>
    <w:rsid w:val="00442CF3"/>
    <w:rsid w:val="00454FB1"/>
    <w:rsid w:val="00461DF5"/>
    <w:rsid w:val="00470B4F"/>
    <w:rsid w:val="004A0868"/>
    <w:rsid w:val="004A41BE"/>
    <w:rsid w:val="004A7912"/>
    <w:rsid w:val="004A7CE5"/>
    <w:rsid w:val="004C13D3"/>
    <w:rsid w:val="004C1D35"/>
    <w:rsid w:val="004C252B"/>
    <w:rsid w:val="004C5535"/>
    <w:rsid w:val="004C65AC"/>
    <w:rsid w:val="004D0203"/>
    <w:rsid w:val="004D1DE1"/>
    <w:rsid w:val="004D5EE0"/>
    <w:rsid w:val="004D7A8E"/>
    <w:rsid w:val="004E0289"/>
    <w:rsid w:val="004E2210"/>
    <w:rsid w:val="004E7C93"/>
    <w:rsid w:val="004F00E6"/>
    <w:rsid w:val="004F0938"/>
    <w:rsid w:val="004F5767"/>
    <w:rsid w:val="00500AEB"/>
    <w:rsid w:val="00501FFD"/>
    <w:rsid w:val="00505F60"/>
    <w:rsid w:val="0050696F"/>
    <w:rsid w:val="00514A37"/>
    <w:rsid w:val="00535908"/>
    <w:rsid w:val="00541685"/>
    <w:rsid w:val="00542FC4"/>
    <w:rsid w:val="00543BCC"/>
    <w:rsid w:val="00545E71"/>
    <w:rsid w:val="00547F0C"/>
    <w:rsid w:val="00552CA8"/>
    <w:rsid w:val="0055348D"/>
    <w:rsid w:val="00561D1D"/>
    <w:rsid w:val="00562F9A"/>
    <w:rsid w:val="00575EAF"/>
    <w:rsid w:val="0058082A"/>
    <w:rsid w:val="005920FC"/>
    <w:rsid w:val="005927B7"/>
    <w:rsid w:val="005928D3"/>
    <w:rsid w:val="00594D1D"/>
    <w:rsid w:val="005A7FCE"/>
    <w:rsid w:val="005B3029"/>
    <w:rsid w:val="005B458E"/>
    <w:rsid w:val="005C537E"/>
    <w:rsid w:val="005C5996"/>
    <w:rsid w:val="005D516A"/>
    <w:rsid w:val="005F60FD"/>
    <w:rsid w:val="00603882"/>
    <w:rsid w:val="00603B32"/>
    <w:rsid w:val="00610157"/>
    <w:rsid w:val="00610821"/>
    <w:rsid w:val="00612285"/>
    <w:rsid w:val="00613593"/>
    <w:rsid w:val="00617D1B"/>
    <w:rsid w:val="006213EA"/>
    <w:rsid w:val="00630032"/>
    <w:rsid w:val="00652050"/>
    <w:rsid w:val="00675601"/>
    <w:rsid w:val="00675DE9"/>
    <w:rsid w:val="00676D26"/>
    <w:rsid w:val="00681DE5"/>
    <w:rsid w:val="0069301A"/>
    <w:rsid w:val="00695DFE"/>
    <w:rsid w:val="00696759"/>
    <w:rsid w:val="006C1EA8"/>
    <w:rsid w:val="006C328D"/>
    <w:rsid w:val="006C7868"/>
    <w:rsid w:val="006D1190"/>
    <w:rsid w:val="006D3E93"/>
    <w:rsid w:val="006D7333"/>
    <w:rsid w:val="006E0A18"/>
    <w:rsid w:val="006E555B"/>
    <w:rsid w:val="006F2074"/>
    <w:rsid w:val="006F6577"/>
    <w:rsid w:val="00711D57"/>
    <w:rsid w:val="00713EB3"/>
    <w:rsid w:val="007141D4"/>
    <w:rsid w:val="00721C27"/>
    <w:rsid w:val="00723FFE"/>
    <w:rsid w:val="007315B3"/>
    <w:rsid w:val="007321D8"/>
    <w:rsid w:val="00732E17"/>
    <w:rsid w:val="00733A65"/>
    <w:rsid w:val="007342C7"/>
    <w:rsid w:val="00735EF5"/>
    <w:rsid w:val="00740117"/>
    <w:rsid w:val="007537A8"/>
    <w:rsid w:val="007570B2"/>
    <w:rsid w:val="007657A1"/>
    <w:rsid w:val="00773A1E"/>
    <w:rsid w:val="007778D1"/>
    <w:rsid w:val="007847FF"/>
    <w:rsid w:val="00790458"/>
    <w:rsid w:val="007955C4"/>
    <w:rsid w:val="007A058D"/>
    <w:rsid w:val="007A20BF"/>
    <w:rsid w:val="007A3A33"/>
    <w:rsid w:val="007A447E"/>
    <w:rsid w:val="007B01C8"/>
    <w:rsid w:val="007B6CA0"/>
    <w:rsid w:val="007C4ECF"/>
    <w:rsid w:val="007D1B82"/>
    <w:rsid w:val="007D6E6E"/>
    <w:rsid w:val="007D765F"/>
    <w:rsid w:val="007E7CD8"/>
    <w:rsid w:val="007F78F7"/>
    <w:rsid w:val="007F7A65"/>
    <w:rsid w:val="00800649"/>
    <w:rsid w:val="00800BF6"/>
    <w:rsid w:val="00803145"/>
    <w:rsid w:val="00803AF2"/>
    <w:rsid w:val="00804DCA"/>
    <w:rsid w:val="00805733"/>
    <w:rsid w:val="008269CD"/>
    <w:rsid w:val="0084129C"/>
    <w:rsid w:val="0084471A"/>
    <w:rsid w:val="008450DC"/>
    <w:rsid w:val="008502B1"/>
    <w:rsid w:val="00860173"/>
    <w:rsid w:val="008665BF"/>
    <w:rsid w:val="008856C5"/>
    <w:rsid w:val="00885727"/>
    <w:rsid w:val="0089225E"/>
    <w:rsid w:val="00895912"/>
    <w:rsid w:val="008A0C3B"/>
    <w:rsid w:val="008A3282"/>
    <w:rsid w:val="008A78A3"/>
    <w:rsid w:val="008A7B93"/>
    <w:rsid w:val="008C4915"/>
    <w:rsid w:val="008D3CA6"/>
    <w:rsid w:val="008E436B"/>
    <w:rsid w:val="008F0DC8"/>
    <w:rsid w:val="009112E9"/>
    <w:rsid w:val="00922CDC"/>
    <w:rsid w:val="009311E2"/>
    <w:rsid w:val="009313AF"/>
    <w:rsid w:val="009329A7"/>
    <w:rsid w:val="009376C7"/>
    <w:rsid w:val="0094551C"/>
    <w:rsid w:val="0094597C"/>
    <w:rsid w:val="0095270E"/>
    <w:rsid w:val="0095323C"/>
    <w:rsid w:val="00954AE9"/>
    <w:rsid w:val="00962AC7"/>
    <w:rsid w:val="00981F6B"/>
    <w:rsid w:val="009972CF"/>
    <w:rsid w:val="009B11D7"/>
    <w:rsid w:val="009B769E"/>
    <w:rsid w:val="009C56E5"/>
    <w:rsid w:val="009D5E2C"/>
    <w:rsid w:val="009E3808"/>
    <w:rsid w:val="009E3810"/>
    <w:rsid w:val="009E6AAF"/>
    <w:rsid w:val="009F20C6"/>
    <w:rsid w:val="009F69D0"/>
    <w:rsid w:val="009F775E"/>
    <w:rsid w:val="00A06447"/>
    <w:rsid w:val="00A3186F"/>
    <w:rsid w:val="00A31A63"/>
    <w:rsid w:val="00A34181"/>
    <w:rsid w:val="00A34F7F"/>
    <w:rsid w:val="00A35A96"/>
    <w:rsid w:val="00A46F05"/>
    <w:rsid w:val="00A472FA"/>
    <w:rsid w:val="00A47B34"/>
    <w:rsid w:val="00A5069D"/>
    <w:rsid w:val="00A62B96"/>
    <w:rsid w:val="00A7236E"/>
    <w:rsid w:val="00A776FF"/>
    <w:rsid w:val="00A902EE"/>
    <w:rsid w:val="00A96E8D"/>
    <w:rsid w:val="00AA30CA"/>
    <w:rsid w:val="00AA7042"/>
    <w:rsid w:val="00AC0AF1"/>
    <w:rsid w:val="00AC6391"/>
    <w:rsid w:val="00AC6C7D"/>
    <w:rsid w:val="00AE6F9F"/>
    <w:rsid w:val="00AF6540"/>
    <w:rsid w:val="00B13C9B"/>
    <w:rsid w:val="00B17223"/>
    <w:rsid w:val="00B24FDD"/>
    <w:rsid w:val="00B25456"/>
    <w:rsid w:val="00B30732"/>
    <w:rsid w:val="00B30BD6"/>
    <w:rsid w:val="00B345D9"/>
    <w:rsid w:val="00B37210"/>
    <w:rsid w:val="00B41F5B"/>
    <w:rsid w:val="00B4346A"/>
    <w:rsid w:val="00B4617F"/>
    <w:rsid w:val="00B468B5"/>
    <w:rsid w:val="00B47ECF"/>
    <w:rsid w:val="00B51089"/>
    <w:rsid w:val="00B53FF0"/>
    <w:rsid w:val="00B643C4"/>
    <w:rsid w:val="00B65345"/>
    <w:rsid w:val="00B8281D"/>
    <w:rsid w:val="00BA1ABA"/>
    <w:rsid w:val="00BA1D4A"/>
    <w:rsid w:val="00BA48AD"/>
    <w:rsid w:val="00BB4DD5"/>
    <w:rsid w:val="00BB69AB"/>
    <w:rsid w:val="00BB764F"/>
    <w:rsid w:val="00BC06D1"/>
    <w:rsid w:val="00BD4797"/>
    <w:rsid w:val="00BD61A6"/>
    <w:rsid w:val="00BF5268"/>
    <w:rsid w:val="00C04BCA"/>
    <w:rsid w:val="00C05ECB"/>
    <w:rsid w:val="00C0615A"/>
    <w:rsid w:val="00C06565"/>
    <w:rsid w:val="00C11B9A"/>
    <w:rsid w:val="00C161B1"/>
    <w:rsid w:val="00C2110E"/>
    <w:rsid w:val="00C21D68"/>
    <w:rsid w:val="00C310FB"/>
    <w:rsid w:val="00C35898"/>
    <w:rsid w:val="00C368F4"/>
    <w:rsid w:val="00C47561"/>
    <w:rsid w:val="00C47827"/>
    <w:rsid w:val="00C566DB"/>
    <w:rsid w:val="00C7499C"/>
    <w:rsid w:val="00C87370"/>
    <w:rsid w:val="00C91B99"/>
    <w:rsid w:val="00C91F3A"/>
    <w:rsid w:val="00CB2587"/>
    <w:rsid w:val="00CB4B74"/>
    <w:rsid w:val="00CB575F"/>
    <w:rsid w:val="00CC04A4"/>
    <w:rsid w:val="00CC45A9"/>
    <w:rsid w:val="00CC569D"/>
    <w:rsid w:val="00CC7E99"/>
    <w:rsid w:val="00CE27B5"/>
    <w:rsid w:val="00CE2EE9"/>
    <w:rsid w:val="00CE3098"/>
    <w:rsid w:val="00CE5E39"/>
    <w:rsid w:val="00CE6470"/>
    <w:rsid w:val="00CE78F0"/>
    <w:rsid w:val="00CF2F80"/>
    <w:rsid w:val="00CF33FA"/>
    <w:rsid w:val="00D05542"/>
    <w:rsid w:val="00D06BB0"/>
    <w:rsid w:val="00D10AC7"/>
    <w:rsid w:val="00D11985"/>
    <w:rsid w:val="00D30E78"/>
    <w:rsid w:val="00D31D68"/>
    <w:rsid w:val="00D4148B"/>
    <w:rsid w:val="00D445B0"/>
    <w:rsid w:val="00D479B4"/>
    <w:rsid w:val="00D63B39"/>
    <w:rsid w:val="00D745BA"/>
    <w:rsid w:val="00D805D3"/>
    <w:rsid w:val="00D9456D"/>
    <w:rsid w:val="00DE6D6B"/>
    <w:rsid w:val="00DF69B3"/>
    <w:rsid w:val="00E10DCD"/>
    <w:rsid w:val="00E15A0E"/>
    <w:rsid w:val="00E23F55"/>
    <w:rsid w:val="00E24BE3"/>
    <w:rsid w:val="00E37624"/>
    <w:rsid w:val="00E41200"/>
    <w:rsid w:val="00E44EE9"/>
    <w:rsid w:val="00E473F3"/>
    <w:rsid w:val="00E475D0"/>
    <w:rsid w:val="00E500F8"/>
    <w:rsid w:val="00E513E6"/>
    <w:rsid w:val="00E51C5D"/>
    <w:rsid w:val="00E52E30"/>
    <w:rsid w:val="00E60554"/>
    <w:rsid w:val="00E610E6"/>
    <w:rsid w:val="00E64D45"/>
    <w:rsid w:val="00E6782F"/>
    <w:rsid w:val="00E701AD"/>
    <w:rsid w:val="00E90D47"/>
    <w:rsid w:val="00E9205F"/>
    <w:rsid w:val="00E92CFC"/>
    <w:rsid w:val="00E97506"/>
    <w:rsid w:val="00EA13D2"/>
    <w:rsid w:val="00EB5094"/>
    <w:rsid w:val="00EB5D3B"/>
    <w:rsid w:val="00EE0F12"/>
    <w:rsid w:val="00EE62D4"/>
    <w:rsid w:val="00EE6788"/>
    <w:rsid w:val="00EE7697"/>
    <w:rsid w:val="00F028F6"/>
    <w:rsid w:val="00F177EC"/>
    <w:rsid w:val="00F24265"/>
    <w:rsid w:val="00F312D7"/>
    <w:rsid w:val="00F427D7"/>
    <w:rsid w:val="00F553C2"/>
    <w:rsid w:val="00F55554"/>
    <w:rsid w:val="00F65F39"/>
    <w:rsid w:val="00F660E8"/>
    <w:rsid w:val="00F67C36"/>
    <w:rsid w:val="00F728FE"/>
    <w:rsid w:val="00F7645B"/>
    <w:rsid w:val="00F809C5"/>
    <w:rsid w:val="00F83472"/>
    <w:rsid w:val="00F86B3C"/>
    <w:rsid w:val="00F94557"/>
    <w:rsid w:val="00FA5F3F"/>
    <w:rsid w:val="00FB030E"/>
    <w:rsid w:val="00FB1079"/>
    <w:rsid w:val="00FB6DC2"/>
    <w:rsid w:val="00FC0D46"/>
    <w:rsid w:val="00FC190E"/>
    <w:rsid w:val="00FD32D3"/>
    <w:rsid w:val="00FD4C89"/>
    <w:rsid w:val="00FE62D4"/>
    <w:rsid w:val="00FE7595"/>
    <w:rsid w:val="00FF2540"/>
    <w:rsid w:val="00FF53F5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1BAA2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E37624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3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3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4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37624"/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5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5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6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6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6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7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8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9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10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476DF"/>
    <w:pPr>
      <w:widowControl w:val="0"/>
      <w:autoSpaceDE w:val="0"/>
      <w:autoSpaceDN w:val="0"/>
      <w:spacing w:before="0" w:after="0"/>
    </w:pPr>
    <w:rPr>
      <w:rFonts w:ascii="Arial" w:eastAsia="Arial" w:hAnsi="Arial" w:cs="Arial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76DF"/>
    <w:rPr>
      <w:rFonts w:ascii="Arial" w:eastAsia="Arial" w:hAnsi="Arial" w:cs="Arial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0476DF"/>
    <w:pPr>
      <w:widowControl w:val="0"/>
      <w:autoSpaceDE w:val="0"/>
      <w:autoSpaceDN w:val="0"/>
      <w:spacing w:before="118" w:after="0"/>
      <w:ind w:left="813" w:hanging="355"/>
    </w:pPr>
    <w:rPr>
      <w:rFonts w:ascii="Arial" w:eastAsia="Arial" w:hAnsi="Arial" w:cs="Arial"/>
      <w:color w:val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0476DF"/>
    <w:pPr>
      <w:widowControl w:val="0"/>
      <w:autoSpaceDE w:val="0"/>
      <w:autoSpaceDN w:val="0"/>
      <w:spacing w:before="98" w:after="0"/>
      <w:ind w:left="93"/>
    </w:pPr>
    <w:rPr>
      <w:rFonts w:ascii="Arial" w:eastAsia="Arial" w:hAnsi="Arial" w:cs="Arial"/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6D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6D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A78A3"/>
    <w:rPr>
      <w:color w:val="00847E" w:themeColor="hyperlink"/>
      <w:u w:val="single"/>
    </w:rPr>
  </w:style>
  <w:style w:type="character" w:customStyle="1" w:styleId="fontstyle01">
    <w:name w:val="fontstyle01"/>
    <w:basedOn w:val="DefaultParagraphFont"/>
    <w:rsid w:val="008A78A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A78A3"/>
    <w:rPr>
      <w:rFonts w:ascii="SymbolMT" w:hAnsi="SymbolMT" w:hint="default"/>
      <w:b w:val="0"/>
      <w:bCs w:val="0"/>
      <w:i w:val="0"/>
      <w:iCs w:val="0"/>
      <w:color w:val="00847E"/>
      <w:sz w:val="22"/>
      <w:szCs w:val="22"/>
    </w:rPr>
  </w:style>
  <w:style w:type="character" w:customStyle="1" w:styleId="fontstyle31">
    <w:name w:val="fontstyle31"/>
    <w:basedOn w:val="DefaultParagraphFont"/>
    <w:rsid w:val="008A78A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8A78A3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D10AC7"/>
    <w:pPr>
      <w:autoSpaceDE w:val="0"/>
      <w:autoSpaceDN w:val="0"/>
      <w:adjustRightInd w:val="0"/>
      <w:spacing w:before="0" w:after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3722F"/>
    <w:rPr>
      <w:color w:val="00847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744">
                              <w:marLeft w:val="0"/>
                              <w:marRight w:val="0"/>
                              <w:marTop w:val="168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qsa.gov.au/sites/default/files/teqsa-register-of-external-experts.pdf?v=16239079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qsa.gov.au/latest-news/publications/independent-experts-engaged-provid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Engagement</Value>
    </TeqsaTeam>
    <Owner xmlns="979ab06a-6535-4638-b59f-980faa50cb4b">
      <UserInfo>
        <DisplayName>Treloar, Karen</DisplayName>
        <AccountId>25</AccountId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0a6d4e0d4502e7ad1409244ae626953e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4eacf87ce1613e74ab132e72a9bedc12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knowledgement of Country"/>
                    <xsd:enumeration value="APS Employee Census"/>
                    <xsd:enumeration value="Assessment and Investigations"/>
                    <xsd:enumeration value="Assurance"/>
                    <xsd:enumeration value="Business Solutions"/>
                    <xsd:enumeration value="Case Management Handbook"/>
                    <xsd:enumeration value="Commission"/>
                    <xsd:enumeration value="Corporate"/>
                    <xsd:enumeration value="CRM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Finance"/>
                    <xsd:enumeration value="Governance"/>
                    <xsd:enumeration value="HR Policies and Procedures"/>
                    <xsd:enumeration value="Inclusion and Diversity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Parliamentary Liaison"/>
                    <xsd:enumeration value="People and Capability"/>
                    <xsd:enumeration value="Policy and Analysis"/>
                    <xsd:enumeration value="Security"/>
                    <xsd:enumeration value="SMT"/>
                    <xsd:enumeration value="Social club"/>
                    <xsd:enumeration value="Staff Consultative Committee"/>
                    <xsd:enumeration value="Thematic Analysis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E1C12-8773-409A-B29D-4FC4E6BF5F01}">
  <ds:schemaRefs>
    <ds:schemaRef ds:uri="http://purl.org/dc/elements/1.1/"/>
    <ds:schemaRef ds:uri="http://schemas.microsoft.com/office/2006/metadata/properties"/>
    <ds:schemaRef ds:uri="979ab06a-6535-4638-b59f-980faa50cb4b"/>
    <ds:schemaRef ds:uri="http://purl.org/dc/dcmitype/"/>
    <ds:schemaRef ds:uri="28b94040-26a8-469a-8038-0c82e6a14f1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B9FA47-4A6F-4FE5-89AD-0254A13C7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E5A6D-2E91-42C3-BCD7-D5FBBDCC8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4160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Tertiary Education Quality and Standards Agency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Engaging an independent expert to undertake a review - sector update</dc:title>
  <dc:creator>May, Raphael</dc:creator>
  <cp:lastModifiedBy>Tom Hewitt-McManus</cp:lastModifiedBy>
  <cp:revision>6</cp:revision>
  <cp:lastPrinted>2022-03-31T06:00:00Z</cp:lastPrinted>
  <dcterms:created xsi:type="dcterms:W3CDTF">2022-03-31T23:54:00Z</dcterms:created>
  <dcterms:modified xsi:type="dcterms:W3CDTF">2022-03-31T23:59:00Z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</Properties>
</file>