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EBEC4" w14:textId="77777777" w:rsidR="00445935" w:rsidRDefault="00445935" w:rsidP="00445935">
      <w:pPr>
        <w:pStyle w:val="Heading1"/>
        <w:rPr>
          <w:i/>
          <w:color w:val="00A398"/>
        </w:rPr>
      </w:pPr>
      <w:r w:rsidRPr="00445935">
        <w:rPr>
          <w:color w:val="00A398"/>
        </w:rPr>
        <w:t xml:space="preserve">Guidance Note: </w:t>
      </w:r>
      <w:r w:rsidRPr="00445935">
        <w:rPr>
          <w:i/>
          <w:color w:val="00A398"/>
        </w:rPr>
        <w:t>Corporate Governance</w:t>
      </w:r>
    </w:p>
    <w:p w14:paraId="7E49561E" w14:textId="77777777" w:rsidR="00706019" w:rsidRDefault="00706019" w:rsidP="00706019">
      <w:pPr>
        <w:rPr>
          <w:rStyle w:val="SubtleEmphasis"/>
        </w:rPr>
      </w:pPr>
      <w:r>
        <w:rPr>
          <w:rStyle w:val="SubtleEmphasis"/>
        </w:rPr>
        <w:t>Version 2.</w:t>
      </w:r>
      <w:r w:rsidR="007B4C19">
        <w:rPr>
          <w:rStyle w:val="SubtleEmphasis"/>
        </w:rPr>
        <w:t>4</w:t>
      </w:r>
      <w:r>
        <w:rPr>
          <w:rStyle w:val="SubtleEmphasis"/>
        </w:rPr>
        <w:t xml:space="preserve"> </w:t>
      </w:r>
      <w:r w:rsidRPr="001164C3">
        <w:rPr>
          <w:rStyle w:val="SubtleEmphasis"/>
        </w:rPr>
        <w:t>(</w:t>
      </w:r>
      <w:r w:rsidR="007B4C19">
        <w:rPr>
          <w:rStyle w:val="SubtleEmphasis"/>
        </w:rPr>
        <w:t>2</w:t>
      </w:r>
      <w:r w:rsidR="00A00761">
        <w:rPr>
          <w:rStyle w:val="SubtleEmphasis"/>
        </w:rPr>
        <w:t>6</w:t>
      </w:r>
      <w:r w:rsidR="001164C3" w:rsidRPr="001164C3">
        <w:rPr>
          <w:rStyle w:val="SubtleEmphasis"/>
        </w:rPr>
        <w:t xml:space="preserve"> </w:t>
      </w:r>
      <w:r w:rsidR="007B4C19">
        <w:rPr>
          <w:rStyle w:val="SubtleEmphasis"/>
        </w:rPr>
        <w:t>August 2019</w:t>
      </w:r>
      <w:r w:rsidRPr="001164C3">
        <w:rPr>
          <w:rStyle w:val="SubtleEmphasis"/>
        </w:rPr>
        <w:t>)</w:t>
      </w:r>
    </w:p>
    <w:p w14:paraId="5E79B2E9" w14:textId="77777777" w:rsidR="00B77F75" w:rsidRPr="00B77F75" w:rsidRDefault="00B77F75" w:rsidP="00706019">
      <w:pPr>
        <w:rPr>
          <w:rStyle w:val="SubtleEmphasis"/>
          <w:color w:val="000000" w:themeColor="text1"/>
        </w:rPr>
      </w:pPr>
      <w:r w:rsidRPr="00B77F75">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14:paraId="7DD171C7" w14:textId="77777777" w:rsidR="00445935" w:rsidRDefault="00445935" w:rsidP="00445935">
      <w:pPr>
        <w:pStyle w:val="Heading2"/>
      </w:pPr>
      <w:r>
        <w:t>What is corporate governance?</w:t>
      </w:r>
    </w:p>
    <w:p w14:paraId="6706D707" w14:textId="77777777" w:rsidR="00445935" w:rsidRDefault="00445935" w:rsidP="00445935">
      <w:r>
        <w:t>Broadly defined, corporate governance is the framework of structures, rules, relationships, systems and processes of an entity through which:</w:t>
      </w:r>
    </w:p>
    <w:p w14:paraId="0C740B93" w14:textId="77777777" w:rsidR="00445935" w:rsidRPr="008876EA" w:rsidRDefault="00445935" w:rsidP="00445935">
      <w:pPr>
        <w:pStyle w:val="ListParagraph"/>
        <w:numPr>
          <w:ilvl w:val="0"/>
          <w:numId w:val="12"/>
        </w:numPr>
        <w:contextualSpacing w:val="0"/>
        <w:rPr>
          <w:rFonts w:cs="Arial"/>
        </w:rPr>
      </w:pPr>
      <w:r w:rsidRPr="008876EA">
        <w:rPr>
          <w:rFonts w:cs="Arial"/>
        </w:rPr>
        <w:t>corporate directions and targets are set</w:t>
      </w:r>
    </w:p>
    <w:p w14:paraId="5AECCCAF" w14:textId="77777777" w:rsidR="00445935" w:rsidRPr="00190FE4" w:rsidRDefault="00445935" w:rsidP="00445935">
      <w:pPr>
        <w:pStyle w:val="ListParagraph"/>
        <w:numPr>
          <w:ilvl w:val="0"/>
          <w:numId w:val="12"/>
        </w:numPr>
        <w:contextualSpacing w:val="0"/>
        <w:rPr>
          <w:rFonts w:cs="Arial"/>
        </w:rPr>
      </w:pPr>
      <w:r w:rsidRPr="00190FE4">
        <w:rPr>
          <w:rFonts w:cs="Arial"/>
        </w:rPr>
        <w:t>authority is delegated</w:t>
      </w:r>
    </w:p>
    <w:p w14:paraId="49753DF3" w14:textId="77777777" w:rsidR="00445935" w:rsidRPr="00FE4154" w:rsidRDefault="00445935" w:rsidP="00445935">
      <w:pPr>
        <w:pStyle w:val="ListParagraph"/>
        <w:numPr>
          <w:ilvl w:val="0"/>
          <w:numId w:val="12"/>
        </w:numPr>
        <w:contextualSpacing w:val="0"/>
        <w:rPr>
          <w:rFonts w:cs="Arial"/>
        </w:rPr>
      </w:pPr>
      <w:r w:rsidRPr="00FE4154">
        <w:rPr>
          <w:rFonts w:cs="Arial"/>
        </w:rPr>
        <w:t>organisational performance is monitored</w:t>
      </w:r>
    </w:p>
    <w:p w14:paraId="31D66E17" w14:textId="77777777" w:rsidR="00445935" w:rsidRPr="002F69C3" w:rsidRDefault="00445935" w:rsidP="00445935">
      <w:pPr>
        <w:pStyle w:val="ListParagraph"/>
        <w:numPr>
          <w:ilvl w:val="0"/>
          <w:numId w:val="12"/>
        </w:numPr>
        <w:contextualSpacing w:val="0"/>
        <w:rPr>
          <w:rFonts w:cs="Arial"/>
        </w:rPr>
      </w:pPr>
      <w:r w:rsidRPr="002F69C3">
        <w:rPr>
          <w:rFonts w:cs="Arial"/>
        </w:rPr>
        <w:t>risks are identified, managed and controlled</w:t>
      </w:r>
    </w:p>
    <w:p w14:paraId="0A4A47E5" w14:textId="77777777" w:rsidR="00445935" w:rsidRPr="002F69C3" w:rsidRDefault="00445935" w:rsidP="00445935">
      <w:pPr>
        <w:pStyle w:val="ListParagraph"/>
        <w:numPr>
          <w:ilvl w:val="0"/>
          <w:numId w:val="12"/>
        </w:numPr>
        <w:contextualSpacing w:val="0"/>
        <w:rPr>
          <w:rFonts w:cs="Arial"/>
        </w:rPr>
      </w:pPr>
      <w:r w:rsidRPr="002F69C3">
        <w:rPr>
          <w:rFonts w:cs="Arial"/>
        </w:rPr>
        <w:t>organisational accountability is maintained</w:t>
      </w:r>
    </w:p>
    <w:p w14:paraId="5EB4C001" w14:textId="77777777" w:rsidR="00445935" w:rsidRPr="002F69C3" w:rsidRDefault="00445935" w:rsidP="00445935">
      <w:pPr>
        <w:pStyle w:val="ListParagraph"/>
        <w:numPr>
          <w:ilvl w:val="0"/>
          <w:numId w:val="12"/>
        </w:numPr>
        <w:contextualSpacing w:val="0"/>
        <w:rPr>
          <w:rFonts w:cs="Arial"/>
        </w:rPr>
      </w:pPr>
      <w:r w:rsidRPr="002F69C3">
        <w:rPr>
          <w:rFonts w:cs="Arial"/>
        </w:rPr>
        <w:t xml:space="preserve">corporate culture is developed and influenced. </w:t>
      </w:r>
    </w:p>
    <w:p w14:paraId="5736DFD2" w14:textId="77777777" w:rsidR="00445935" w:rsidRDefault="00445935" w:rsidP="00445935">
      <w:r>
        <w:t xml:space="preserve">The centrepiece of corporate governance is a formally constituted governing body (e.g. a board of governance) that is collectively accountable for the governance and performance of the entity overall, including, in the case of registered higher education providers, meeting and continuing to meet the requirements of the </w:t>
      </w:r>
      <w:r w:rsidRPr="00163BBF">
        <w:rPr>
          <w:i/>
        </w:rPr>
        <w:t>Higher Education Standards Framework (Threshold Standards) 2015</w:t>
      </w:r>
      <w:r>
        <w:t xml:space="preserve"> (HES Framework). </w:t>
      </w:r>
    </w:p>
    <w:p w14:paraId="6F3565FC" w14:textId="77777777" w:rsidR="00445935" w:rsidRDefault="00445935" w:rsidP="00445935">
      <w:r w:rsidRPr="004C649C">
        <w:t>In higher education providers corporate governance is typically part of a governance framework that also includes academic governance. Together these elements of governance guide and monitor the executive and academic functions of the provider.</w:t>
      </w:r>
      <w:r>
        <w:t xml:space="preserve"> </w:t>
      </w:r>
    </w:p>
    <w:p w14:paraId="6E96678F" w14:textId="77777777" w:rsidR="00445935" w:rsidRDefault="00445935" w:rsidP="00445935">
      <w:pPr>
        <w:pStyle w:val="Heading2"/>
      </w:pPr>
      <w:r w:rsidRPr="004A4935">
        <w:t xml:space="preserve">Relevant </w:t>
      </w:r>
      <w:r>
        <w:t xml:space="preserve">Standards in the HES Framework </w:t>
      </w:r>
    </w:p>
    <w:p w14:paraId="1B0FD243" w14:textId="77777777" w:rsidR="00445935" w:rsidRDefault="00445935" w:rsidP="00445935">
      <w:r>
        <w:t>The principal Standards concerned with corporate governance are in Part A, Sections 6.1 (corporate governance) and 6.2 (corporate monitoring and accountability) of the HES Framework. These in turn have links to other related Standards concerning academic governance (6.3), representation of the entity (7.1), policy frameworks (7.2), information management systems (7.3) and institutional quality assurance (5.1-5.4), which together address a variety of mechanisms that enable and support effective corporate governance. Standards concerning wellbeing and safety (2.3</w:t>
      </w:r>
      <w:proofErr w:type="gramStart"/>
      <w:r>
        <w:t>)</w:t>
      </w:r>
      <w:proofErr w:type="gramEnd"/>
      <w:r>
        <w:t xml:space="preserve"> and student grievances and complaints </w:t>
      </w:r>
      <w:r>
        <w:lastRenderedPageBreak/>
        <w:t>(2.4) are also indirectly related to the corporate governance, through the oversight responsibilities of the governing body.</w:t>
      </w:r>
    </w:p>
    <w:p w14:paraId="49020AD0" w14:textId="77777777" w:rsidR="00445935" w:rsidRPr="004A4935" w:rsidRDefault="00445935" w:rsidP="00445935">
      <w:pPr>
        <w:pStyle w:val="Heading2"/>
      </w:pPr>
      <w:r w:rsidRPr="004A4935">
        <w:t xml:space="preserve">Intent of the </w:t>
      </w:r>
      <w:r>
        <w:t xml:space="preserve">Standards </w:t>
      </w:r>
    </w:p>
    <w:p w14:paraId="6E65A96C" w14:textId="77777777" w:rsidR="00445935" w:rsidRDefault="00445935" w:rsidP="00445935">
      <w:r>
        <w:t>The overall intent of the corporate governance Standards is to establish a corporate governing body that has certain specified characteristics, such as the inclusion of independent</w:t>
      </w:r>
      <w:r>
        <w:rPr>
          <w:rStyle w:val="FootnoteReference"/>
        </w:rPr>
        <w:footnoteReference w:id="1"/>
      </w:r>
      <w:r>
        <w:t xml:space="preserve"> members (directors), and that is competent to undertake its governance roles. The governing body is accountable for the direction setting and oversight of the </w:t>
      </w:r>
      <w:proofErr w:type="gramStart"/>
      <w:r>
        <w:t>provider as a whole</w:t>
      </w:r>
      <w:proofErr w:type="gramEnd"/>
      <w:r>
        <w:t xml:space="preserve">. This makes the Standards for corporate governance the highest and most overarching level of the Standards in the HES Framework. The Standards require the governing body to address </w:t>
      </w:r>
      <w:proofErr w:type="gramStart"/>
      <w:r>
        <w:t>particular aspects</w:t>
      </w:r>
      <w:proofErr w:type="gramEnd"/>
      <w:r>
        <w:t xml:space="preserve"> of the governing body’s own performance and behaviour, including obtaining advice as needed to make informed decisions and formally delegating authority (e.g. to the provider’s executive) as it sees fit. The Standards also encompass a series of specific corporate requirements (e.g. financial sustainability, maintaining the quality of higher education) that the governing body must be able to demonstrate and assure itself about as part of its corporate accountabilities. The governing body is also accountable for periodic independent reviews and improvement of the effectiveness of the provider’s governance systems. </w:t>
      </w:r>
    </w:p>
    <w:p w14:paraId="0FE64DF6" w14:textId="77777777" w:rsidR="00445935" w:rsidRDefault="00445935" w:rsidP="00445935">
      <w:r>
        <w:t>The corporate governance Standards are designed to ensure that the matters encompassed by all other Standards in Part A of the HES Framework are intended to have a traceable accountability pathway to the governing body and Standard 6.1, via Standard 6.2. For example, the next layer of overarching Standards (academic governance</w:t>
      </w:r>
      <w:r w:rsidRPr="008533B7">
        <w:t xml:space="preserve"> </w:t>
      </w:r>
      <w:r>
        <w:t xml:space="preserve">and institutional quality assurance) requires the provider to generate performance monitoring information from various aspects of its operations and to report that information through its management information systems to the governing body. In this way, the governing body should be well positioned to understand and monitor any aspect of the provider’s performance, at least at aggregate level. </w:t>
      </w:r>
    </w:p>
    <w:p w14:paraId="11498BA5" w14:textId="77777777" w:rsidR="00445935" w:rsidRDefault="00445935" w:rsidP="00445935">
      <w:r>
        <w:t xml:space="preserve">Where a provider is a </w:t>
      </w:r>
      <w:proofErr w:type="gramStart"/>
      <w:r>
        <w:t>wholly-owned</w:t>
      </w:r>
      <w:proofErr w:type="gramEnd"/>
      <w:r>
        <w:t xml:space="preserve"> subsidiary of another provider, the governing body of the owner may be designated as the governing body of the subsidiary as well, provided that the governing body of the owner exercises all the responsibilities and meets all the requirements outlined in Sections 6.1 and 6.2.</w:t>
      </w:r>
    </w:p>
    <w:p w14:paraId="4D7EF209" w14:textId="77777777" w:rsidR="00445935" w:rsidRPr="00A71970" w:rsidRDefault="00C5342A" w:rsidP="00445935">
      <w:pPr>
        <w:pStyle w:val="Heading2"/>
      </w:pPr>
      <w:r>
        <w:t xml:space="preserve">Risks to </w:t>
      </w:r>
      <w:r w:rsidR="00252EBB">
        <w:t>Quality</w:t>
      </w:r>
    </w:p>
    <w:p w14:paraId="1A182CD9" w14:textId="77777777" w:rsidR="00445935" w:rsidRDefault="00445935" w:rsidP="00445935">
      <w:r>
        <w:t>The role of the governing body has a fundamental influence on the operations of a provider. It is involved in setting corporate directions, setting and monitoring performance targets, proactively identifying and mitigating risks, monitoring financial viability and sustainability, and influencing corporate culture. For higher education providers it is also accountable for the quality of education delivered, the validity of qualifications issued, compliance with the HES Framework and the way it represents its offerings to prospective students and others.</w:t>
      </w:r>
    </w:p>
    <w:p w14:paraId="2C7D31B0" w14:textId="77777777" w:rsidR="00445935" w:rsidRDefault="00445935" w:rsidP="00445935">
      <w:r>
        <w:t xml:space="preserve">Any shortcomings in governance expose a provider to significant risks. The concern of the governance Standards, and of TEQSA, is that higher education providers have a focus of responsible overall monitoring and accountability, which collectively prevents the realisation of significant risks such as not meeting the requirements of the HES Framework, unrealistic </w:t>
      </w:r>
      <w:r>
        <w:lastRenderedPageBreak/>
        <w:t xml:space="preserve">or unsustainable resourcing to deliver quality higher education, irresponsible representation of the provider or development of a culture that is inconsistent with quality higher education. </w:t>
      </w:r>
    </w:p>
    <w:p w14:paraId="59E7F0E5" w14:textId="77777777" w:rsidR="00445935" w:rsidRDefault="00445935" w:rsidP="00445935">
      <w:r>
        <w:t xml:space="preserve">Some potentially serious shortcomings in governance that TEQSA will want to see obviated include a governing body: </w:t>
      </w:r>
    </w:p>
    <w:p w14:paraId="321177BB" w14:textId="77777777" w:rsidR="00445935" w:rsidRPr="00FE4154" w:rsidRDefault="00445935" w:rsidP="00445935">
      <w:pPr>
        <w:pStyle w:val="ListParagraph"/>
        <w:numPr>
          <w:ilvl w:val="0"/>
          <w:numId w:val="13"/>
        </w:numPr>
        <w:contextualSpacing w:val="0"/>
        <w:rPr>
          <w:rFonts w:cs="Arial"/>
        </w:rPr>
      </w:pPr>
      <w:r w:rsidRPr="008876EA">
        <w:rPr>
          <w:rFonts w:cs="Arial"/>
        </w:rPr>
        <w:t xml:space="preserve">having </w:t>
      </w:r>
      <w:r w:rsidRPr="00190FE4">
        <w:rPr>
          <w:rFonts w:cs="Arial"/>
        </w:rPr>
        <w:t>insufficient collective competence to understand and undertake a governance role in a higher education provider</w:t>
      </w:r>
    </w:p>
    <w:p w14:paraId="632B020B" w14:textId="77777777" w:rsidR="00445935" w:rsidRPr="002F69C3" w:rsidRDefault="00445935" w:rsidP="00445935">
      <w:pPr>
        <w:pStyle w:val="ListParagraph"/>
        <w:numPr>
          <w:ilvl w:val="0"/>
          <w:numId w:val="13"/>
        </w:numPr>
        <w:contextualSpacing w:val="0"/>
        <w:rPr>
          <w:rFonts w:cs="Arial"/>
        </w:rPr>
      </w:pPr>
      <w:r w:rsidRPr="002F69C3">
        <w:rPr>
          <w:rFonts w:cs="Arial"/>
        </w:rPr>
        <w:t>failing to obtain advice as required to make informed decisions, particularly about the nature and quality of higher education offered</w:t>
      </w:r>
    </w:p>
    <w:p w14:paraId="03FA5A48" w14:textId="77777777" w:rsidR="00445935" w:rsidRDefault="00445935" w:rsidP="00445935">
      <w:pPr>
        <w:pStyle w:val="ListParagraph"/>
        <w:numPr>
          <w:ilvl w:val="0"/>
          <w:numId w:val="13"/>
        </w:numPr>
        <w:contextualSpacing w:val="0"/>
        <w:rPr>
          <w:rFonts w:cs="Arial"/>
        </w:rPr>
      </w:pPr>
      <w:r w:rsidRPr="002F69C3">
        <w:rPr>
          <w:rFonts w:cs="Arial"/>
        </w:rPr>
        <w:t>not being well enough informed, and not diligently making itself sufficiently informed, to identify and address likely risks to the provider’s viability, sustainability and educational offerings</w:t>
      </w:r>
    </w:p>
    <w:p w14:paraId="3666406B" w14:textId="77777777" w:rsidR="00445935" w:rsidRPr="002F69C3" w:rsidRDefault="00445935" w:rsidP="00445935">
      <w:pPr>
        <w:pStyle w:val="ListParagraph"/>
        <w:numPr>
          <w:ilvl w:val="1"/>
          <w:numId w:val="13"/>
        </w:numPr>
        <w:contextualSpacing w:val="0"/>
        <w:rPr>
          <w:rFonts w:cs="Arial"/>
        </w:rPr>
      </w:pPr>
      <w:r>
        <w:rPr>
          <w:rFonts w:cs="Arial"/>
        </w:rPr>
        <w:t>this may particularly be a risk in corporate groups where the group board acts as the governing body for multiple entities</w:t>
      </w:r>
    </w:p>
    <w:p w14:paraId="0BC20E8F" w14:textId="77777777" w:rsidR="00445935" w:rsidRPr="002F69C3" w:rsidRDefault="00445935" w:rsidP="00445935">
      <w:pPr>
        <w:pStyle w:val="ListParagraph"/>
        <w:numPr>
          <w:ilvl w:val="0"/>
          <w:numId w:val="13"/>
        </w:numPr>
        <w:contextualSpacing w:val="0"/>
        <w:rPr>
          <w:rFonts w:cs="Arial"/>
        </w:rPr>
      </w:pPr>
      <w:r w:rsidRPr="002F69C3">
        <w:rPr>
          <w:rFonts w:cs="Arial"/>
        </w:rPr>
        <w:t>not taking steps to assure itself of compliance with the HES Framework and not demonstrating how it knows the provider is meeting the Standards required</w:t>
      </w:r>
    </w:p>
    <w:p w14:paraId="2EB53494" w14:textId="77777777" w:rsidR="00445935" w:rsidRPr="002F69C3" w:rsidRDefault="00445935" w:rsidP="00445935">
      <w:pPr>
        <w:pStyle w:val="ListParagraph"/>
        <w:numPr>
          <w:ilvl w:val="0"/>
          <w:numId w:val="13"/>
        </w:numPr>
        <w:contextualSpacing w:val="0"/>
        <w:rPr>
          <w:rFonts w:cs="Arial"/>
        </w:rPr>
      </w:pPr>
      <w:r w:rsidRPr="002F69C3">
        <w:rPr>
          <w:rFonts w:cs="Arial"/>
        </w:rPr>
        <w:t>not delegating authority to achieve effective management and accountability of the executive, and not monitoring that those delegations are effective</w:t>
      </w:r>
    </w:p>
    <w:p w14:paraId="78AEE72E" w14:textId="77777777" w:rsidR="00445935" w:rsidRPr="002F69C3" w:rsidRDefault="00445935" w:rsidP="00445935">
      <w:pPr>
        <w:pStyle w:val="ListParagraph"/>
        <w:numPr>
          <w:ilvl w:val="0"/>
          <w:numId w:val="13"/>
        </w:numPr>
        <w:contextualSpacing w:val="0"/>
        <w:rPr>
          <w:rFonts w:cs="Arial"/>
        </w:rPr>
      </w:pPr>
      <w:r w:rsidRPr="002F69C3">
        <w:rPr>
          <w:rFonts w:cs="Arial"/>
        </w:rPr>
        <w:t xml:space="preserve">allowing a provider to represent itself or its offerings in an inaccurate or misleading manner with consequent damage to students and Australian higher education, or </w:t>
      </w:r>
    </w:p>
    <w:p w14:paraId="68E7D29C" w14:textId="77777777" w:rsidR="00445935" w:rsidRPr="002F69C3" w:rsidRDefault="00445935" w:rsidP="00445935">
      <w:pPr>
        <w:pStyle w:val="ListParagraph"/>
        <w:numPr>
          <w:ilvl w:val="0"/>
          <w:numId w:val="13"/>
        </w:numPr>
        <w:contextualSpacing w:val="0"/>
        <w:rPr>
          <w:rFonts w:cs="Arial"/>
        </w:rPr>
      </w:pPr>
      <w:r w:rsidRPr="002F69C3">
        <w:rPr>
          <w:rFonts w:cs="Arial"/>
        </w:rPr>
        <w:t xml:space="preserve">failing to keep adequate records of its activities and decisions. </w:t>
      </w:r>
    </w:p>
    <w:p w14:paraId="2087911A" w14:textId="77777777" w:rsidR="00445935" w:rsidRDefault="00445935" w:rsidP="00445935">
      <w:r w:rsidRPr="004C649C">
        <w:t>At worst, failures of corporate governance may lead to major organisational failures that disadvantage students and/or damage the reputation of Australian higher education, including corporate collapse arising from ignorance or mismanagement of preventable risks by the corporate governing body, whether directly or through its delegations of authority.</w:t>
      </w:r>
      <w:r>
        <w:t xml:space="preserve"> </w:t>
      </w:r>
    </w:p>
    <w:p w14:paraId="0BD6518A" w14:textId="77777777" w:rsidR="00445935" w:rsidRDefault="00445935" w:rsidP="00445935">
      <w:pPr>
        <w:pStyle w:val="Heading2"/>
      </w:pPr>
      <w:r w:rsidRPr="00DE59A9">
        <w:t xml:space="preserve">What TEQSA </w:t>
      </w:r>
      <w:r>
        <w:t xml:space="preserve">will </w:t>
      </w:r>
      <w:r w:rsidRPr="00DE59A9">
        <w:t>look for</w:t>
      </w:r>
    </w:p>
    <w:p w14:paraId="3802CC5D" w14:textId="77777777" w:rsidR="00C5342A" w:rsidRDefault="00C5342A" w:rsidP="001164C3">
      <w:pPr>
        <w:pBdr>
          <w:top w:val="single" w:sz="4" w:space="1" w:color="auto"/>
          <w:left w:val="single" w:sz="4" w:space="4" w:color="auto"/>
          <w:bottom w:val="single" w:sz="4" w:space="10" w:color="auto"/>
          <w:right w:val="single" w:sz="4" w:space="4" w:color="auto"/>
        </w:pBdr>
        <w:shd w:val="clear" w:color="auto" w:fill="A2DADD" w:themeFill="accent5"/>
      </w:pPr>
      <w:r>
        <w:t>This part of the guidance note covers the full extent of the Standards, and corresponding evidence that TEQSA may require, in relation to corporate governance.</w:t>
      </w:r>
    </w:p>
    <w:p w14:paraId="5E66CC39" w14:textId="77777777" w:rsidR="00C5342A" w:rsidRDefault="00C5342A" w:rsidP="001164C3">
      <w:pPr>
        <w:pBdr>
          <w:top w:val="single" w:sz="4" w:space="1" w:color="auto"/>
          <w:left w:val="single" w:sz="4" w:space="4" w:color="auto"/>
          <w:bottom w:val="single" w:sz="4" w:space="10" w:color="auto"/>
          <w:right w:val="single" w:sz="4" w:space="4" w:color="auto"/>
        </w:pBdr>
        <w:shd w:val="clear" w:color="auto" w:fill="A2DADD" w:themeFill="accent5"/>
      </w:pPr>
      <w:r>
        <w:t xml:space="preserve">For new applicants seeking initial registration and course accreditation, TEQSA will require evidence to be provided in relation to all relevant Standards. </w:t>
      </w:r>
    </w:p>
    <w:p w14:paraId="28B588A4" w14:textId="77777777" w:rsidR="00C5342A" w:rsidRDefault="00C5342A" w:rsidP="001164C3">
      <w:pPr>
        <w:pBdr>
          <w:top w:val="single" w:sz="4" w:space="1" w:color="auto"/>
          <w:left w:val="single" w:sz="4" w:space="4" w:color="auto"/>
          <w:bottom w:val="single" w:sz="4" w:space="10" w:color="auto"/>
          <w:right w:val="single" w:sz="4" w:space="4" w:color="auto"/>
        </w:pBdr>
        <w:shd w:val="clear" w:color="auto" w:fill="A2DADD" w:themeFill="accent5"/>
      </w:pPr>
      <w:r>
        <w:t xml:space="preserve">For existing providers, the scope of Standards to be assessed and the evidence required may vary. This is consistent with the regulatory principles in the TEQSA Act, under which TEQSA has discretion to vary the scope of its assessments and the related evidence required. In exercising this discretion, TEQSA will be guided by the provider’s regulatory history, its risk profile and its track record in delivering high quality higher education. </w:t>
      </w:r>
    </w:p>
    <w:p w14:paraId="5747BE90" w14:textId="77777777" w:rsidR="00C5342A" w:rsidRDefault="00C5342A" w:rsidP="001164C3">
      <w:pPr>
        <w:pBdr>
          <w:top w:val="single" w:sz="4" w:space="1" w:color="auto"/>
          <w:left w:val="single" w:sz="4" w:space="4" w:color="auto"/>
          <w:bottom w:val="single" w:sz="4" w:space="10" w:color="auto"/>
          <w:right w:val="single" w:sz="4" w:space="4" w:color="auto"/>
        </w:pBdr>
        <w:shd w:val="clear" w:color="auto" w:fill="A2DADD" w:themeFill="accent5"/>
      </w:pPr>
      <w:r>
        <w:t xml:space="preserve">TEQSA’s case managers will discuss with providers the scope of assessments and evidence required well ahead of the due date for </w:t>
      </w:r>
      <w:proofErr w:type="gramStart"/>
      <w:r>
        <w:t>submitting an application</w:t>
      </w:r>
      <w:proofErr w:type="gramEnd"/>
      <w:r>
        <w:t>.</w:t>
      </w:r>
    </w:p>
    <w:p w14:paraId="766682FC" w14:textId="77777777" w:rsidR="00445935" w:rsidRDefault="00C5342A" w:rsidP="001164C3">
      <w:pPr>
        <w:pBdr>
          <w:top w:val="single" w:sz="4" w:space="1" w:color="auto"/>
          <w:left w:val="single" w:sz="4" w:space="4" w:color="auto"/>
          <w:bottom w:val="single" w:sz="4" w:space="10" w:color="auto"/>
          <w:right w:val="single" w:sz="4" w:space="4" w:color="auto"/>
        </w:pBdr>
        <w:shd w:val="clear" w:color="auto" w:fill="A2DADD" w:themeFill="accent5"/>
      </w:pPr>
      <w:r>
        <w:t xml:space="preserve">The evidence required for </w:t>
      </w:r>
      <w:proofErr w:type="gramStart"/>
      <w:r>
        <w:t>particular types</w:t>
      </w:r>
      <w:proofErr w:type="gramEnd"/>
      <w:r>
        <w:t xml:space="preserve"> of application is available from the Application Guides on the TEQSA website.</w:t>
      </w:r>
    </w:p>
    <w:p w14:paraId="55BBF43B" w14:textId="77777777" w:rsidR="00F326BC" w:rsidRPr="000801BD" w:rsidRDefault="00F326BC" w:rsidP="001164C3">
      <w:pPr>
        <w:pBdr>
          <w:top w:val="single" w:sz="4" w:space="1" w:color="auto"/>
          <w:left w:val="single" w:sz="4" w:space="4" w:color="auto"/>
          <w:bottom w:val="single" w:sz="4" w:space="10" w:color="auto"/>
          <w:right w:val="single" w:sz="4" w:space="4" w:color="auto"/>
        </w:pBdr>
        <w:shd w:val="clear" w:color="auto" w:fill="A2DADD" w:themeFill="accent5"/>
        <w:spacing w:after="240"/>
      </w:pPr>
      <w:r>
        <w:lastRenderedPageBreak/>
        <w:t xml:space="preserve">Providers are required to </w:t>
      </w:r>
      <w:proofErr w:type="gramStart"/>
      <w:r>
        <w:t>comply with the Standards at all times</w:t>
      </w:r>
      <w:proofErr w:type="gramEnd"/>
      <w:r>
        <w:t>, not just at the time of application, and TEQSA may seek evidence of compliance at other times if a risk of non-compliance is identified.</w:t>
      </w:r>
    </w:p>
    <w:p w14:paraId="269570D9" w14:textId="77777777" w:rsidR="00445935" w:rsidRDefault="00445935" w:rsidP="00445935">
      <w:r>
        <w:t xml:space="preserve">Higher education providers are legal entities established by one of </w:t>
      </w:r>
      <w:proofErr w:type="gramStart"/>
      <w:r>
        <w:t>a number of</w:t>
      </w:r>
      <w:proofErr w:type="gramEnd"/>
      <w:r>
        <w:t xml:space="preserve"> possible legal avenues of incorporation, e.g. the Corporations Act. TEQSA will need to see the instrument formally establishing the provider and its governing body (see also Standard 7.3.1) such as the constitution. TEQSA will wish to confirm from the provider’s constitution or related documentation (e.g. the strategic plan) that: the entity has a primary purpose of higher education, the governing body’s accountabilities are specified (e.g. board charter, constitution or equivalent) and the membership of the governing body meets the requirements of the HES Framework. This will include declarations from members of the governing body concerning the independence of at least two members, residency and fit and proper persons.</w:t>
      </w:r>
    </w:p>
    <w:p w14:paraId="4E170082" w14:textId="77777777" w:rsidR="00445935" w:rsidRDefault="00445935" w:rsidP="00445935">
      <w:r>
        <w:t xml:space="preserve">The background of </w:t>
      </w:r>
      <w:proofErr w:type="gramStart"/>
      <w:r>
        <w:t>all of</w:t>
      </w:r>
      <w:proofErr w:type="gramEnd"/>
      <w:r>
        <w:t xml:space="preserve"> the members of the governing body will need to be available in sufficient detail for TEQSA to form a view of their collective and individual competence and the experience of the members to undertake governance roles (see also Section 7.3) in a higher education provider. TEQSA will wish to confirm that the governing body collectively has (or has ready access to) the range of expertise and governance experience necessary to undertake the overall roles specified by its charter (or equivalent) and the HES Framework (such as financial monitoring, planning, risk management, oversight of the quality of higher education). </w:t>
      </w:r>
    </w:p>
    <w:p w14:paraId="637B6699" w14:textId="77777777" w:rsidR="00445935" w:rsidRDefault="00445935" w:rsidP="00445935">
      <w:r>
        <w:t>In relation to Standard 6.1.</w:t>
      </w:r>
      <w:r w:rsidRPr="00E018AD">
        <w:t>3</w:t>
      </w:r>
      <w:r>
        <w:t>, TEQSA will wish to see the mechanisms that the governing body has adopted to obtain independent advice and academic advice as is necessary to carry out its governance roles diligently and competently. TEQSA will also want to see the governing body’s delegations of authority and the mechanisms it adopts to assure itself that such delegations are implemented and are operating effectively. Standard 6.1.</w:t>
      </w:r>
      <w:r w:rsidRPr="00E018AD">
        <w:t>3d</w:t>
      </w:r>
      <w:r>
        <w:t xml:space="preserve"> requires the governing body to undertake periodic independent governance reviews and TEQSA will wish to see (in the evidence submitted for renewal of registration) the results of such reviews (or plans for such reviews in the case of a new provider) and the consequent actions taken. </w:t>
      </w:r>
    </w:p>
    <w:p w14:paraId="101BE097" w14:textId="77777777" w:rsidR="00445935" w:rsidRDefault="00445935" w:rsidP="00445935">
      <w:r>
        <w:t>Section 6.2 outlines a set of key matters that the governing body must assure itself of and be able to demonstrate that they are being attended to responsibly and effectively. A provider is required to keep a true record of the business of the governing body (Standard 6.1.</w:t>
      </w:r>
      <w:r w:rsidRPr="00E018AD">
        <w:t>3e</w:t>
      </w:r>
      <w:r>
        <w:t xml:space="preserve">). TEQSA will wish to examine the record of the governing body’s work (e.g. agendas, meeting minutes, actions arising) for a significant period (at least a year) to confirm the scope and detail of the governance activities involved and that they have been undertaken diligently. TEQSA does not prescribe the format of meeting minutes. However, minutes should record not only the decisions taken, but also the basis on which the decision was made (key documents considered and key points that were taken into consideration by the governing body in making its decision), as well as actions arising. The Governance Institute of </w:t>
      </w:r>
      <w:r w:rsidR="00373195">
        <w:t xml:space="preserve">Australia and the Australian Institute of Company Directors have issued a Joint statement on board minutes (August 2019) which gives definitive guidance. </w:t>
      </w:r>
    </w:p>
    <w:p w14:paraId="1883AEA4" w14:textId="77777777" w:rsidR="00445935" w:rsidRDefault="00445935" w:rsidP="00445935">
      <w:proofErr w:type="gramStart"/>
      <w:r>
        <w:t>In particular, TEQSA</w:t>
      </w:r>
      <w:proofErr w:type="gramEnd"/>
      <w:r>
        <w:t xml:space="preserve"> will need to be satisfied that the governing body’s work encompasses all of the requirements of its charter, that the relevant Standards have been met, and that the governing body is able to demonstrate how it knows that they have been met. </w:t>
      </w:r>
    </w:p>
    <w:p w14:paraId="0ECF7C62" w14:textId="77777777" w:rsidR="00445935" w:rsidRDefault="00445935" w:rsidP="00445935">
      <w:r>
        <w:t>If the evidence that is used and relied on to give assurance to the governing body is not already incorporated in the governing body’s records, TEQSA will wish to see that evidence. This may include:</w:t>
      </w:r>
    </w:p>
    <w:p w14:paraId="48E374EC" w14:textId="77777777" w:rsidR="00445935" w:rsidRPr="002F69C3" w:rsidRDefault="00445935" w:rsidP="00445935">
      <w:pPr>
        <w:pStyle w:val="ListParagraph"/>
        <w:numPr>
          <w:ilvl w:val="0"/>
          <w:numId w:val="14"/>
        </w:numPr>
        <w:contextualSpacing w:val="0"/>
        <w:rPr>
          <w:rFonts w:cs="Arial"/>
        </w:rPr>
      </w:pPr>
      <w:r w:rsidRPr="008876EA">
        <w:rPr>
          <w:rFonts w:cs="Arial"/>
        </w:rPr>
        <w:t>internal audit reports or the like</w:t>
      </w:r>
      <w:r w:rsidRPr="00190FE4">
        <w:rPr>
          <w:rFonts w:cs="Arial"/>
        </w:rPr>
        <w:t>, showing that the entity is meeting its obligations for legislative compliance (</w:t>
      </w:r>
      <w:r w:rsidRPr="00FE4154">
        <w:rPr>
          <w:rFonts w:cs="Arial"/>
        </w:rPr>
        <w:t>Standard 6.2.1a</w:t>
      </w:r>
      <w:r w:rsidRPr="002F69C3">
        <w:rPr>
          <w:rFonts w:cs="Arial"/>
        </w:rPr>
        <w:t>)</w:t>
      </w:r>
    </w:p>
    <w:p w14:paraId="590959D9" w14:textId="77777777" w:rsidR="00445935" w:rsidRPr="002F69C3" w:rsidRDefault="00445935" w:rsidP="00445935">
      <w:pPr>
        <w:pStyle w:val="ListParagraph"/>
        <w:numPr>
          <w:ilvl w:val="0"/>
          <w:numId w:val="14"/>
        </w:numPr>
        <w:contextualSpacing w:val="0"/>
        <w:rPr>
          <w:rFonts w:cs="Arial"/>
        </w:rPr>
      </w:pPr>
      <w:r w:rsidRPr="002F69C3">
        <w:rPr>
          <w:rFonts w:cs="Arial"/>
        </w:rPr>
        <w:lastRenderedPageBreak/>
        <w:t>performance reports that demonstrate that the provider is meeting its planning targets as set out in its strategic plan (or equivalent) (Standard 6.2.1b)</w:t>
      </w:r>
    </w:p>
    <w:p w14:paraId="56C8CB0C" w14:textId="77777777" w:rsidR="00445935" w:rsidRPr="002F69C3" w:rsidRDefault="00445935" w:rsidP="00445935">
      <w:pPr>
        <w:pStyle w:val="ListParagraph"/>
        <w:numPr>
          <w:ilvl w:val="0"/>
          <w:numId w:val="14"/>
        </w:numPr>
        <w:contextualSpacing w:val="0"/>
        <w:rPr>
          <w:rFonts w:cs="Arial"/>
        </w:rPr>
      </w:pPr>
      <w:r w:rsidRPr="002F69C3">
        <w:rPr>
          <w:rFonts w:cs="Arial"/>
        </w:rPr>
        <w:t xml:space="preserve">financial reports and audited statements, internal audit reports and reports from the audit committee (or equivalent) that show that the provider’s financial position and projection are </w:t>
      </w:r>
      <w:proofErr w:type="gramStart"/>
      <w:r w:rsidRPr="002F69C3">
        <w:rPr>
          <w:rFonts w:cs="Arial"/>
        </w:rPr>
        <w:t>sustainable</w:t>
      </w:r>
      <w:proofErr w:type="gramEnd"/>
      <w:r w:rsidRPr="002F69C3">
        <w:rPr>
          <w:rFonts w:cs="Arial"/>
        </w:rPr>
        <w:t xml:space="preserve"> and controls are in place (Standards 6.2.1c, d)</w:t>
      </w:r>
    </w:p>
    <w:p w14:paraId="702276CE" w14:textId="77777777" w:rsidR="00445935" w:rsidRPr="002F69C3" w:rsidRDefault="00445935" w:rsidP="00445935">
      <w:pPr>
        <w:pStyle w:val="ListParagraph"/>
        <w:numPr>
          <w:ilvl w:val="0"/>
          <w:numId w:val="14"/>
        </w:numPr>
        <w:contextualSpacing w:val="0"/>
        <w:rPr>
          <w:rFonts w:cs="Arial"/>
        </w:rPr>
      </w:pPr>
      <w:r w:rsidRPr="002F69C3">
        <w:rPr>
          <w:rFonts w:cs="Arial"/>
        </w:rPr>
        <w:t>risk management plans showing</w:t>
      </w:r>
      <w:r>
        <w:rPr>
          <w:rFonts w:cs="Arial"/>
        </w:rPr>
        <w:t xml:space="preserve"> that</w:t>
      </w:r>
      <w:r w:rsidRPr="002F69C3">
        <w:rPr>
          <w:rFonts w:cs="Arial"/>
        </w:rPr>
        <w:t xml:space="preserve"> risks have been identified tenably and credible mitigation strategies have been implemented (Standard 6.2.1e)</w:t>
      </w:r>
    </w:p>
    <w:p w14:paraId="7534A8CE" w14:textId="77777777" w:rsidR="00445935" w:rsidRPr="002F69C3" w:rsidRDefault="00445935" w:rsidP="00445935">
      <w:pPr>
        <w:pStyle w:val="ListParagraph"/>
        <w:numPr>
          <w:ilvl w:val="0"/>
          <w:numId w:val="14"/>
        </w:numPr>
        <w:contextualSpacing w:val="0"/>
        <w:rPr>
          <w:rFonts w:cs="Arial"/>
        </w:rPr>
      </w:pPr>
      <w:r w:rsidRPr="002F69C3">
        <w:rPr>
          <w:rFonts w:cs="Arial"/>
        </w:rPr>
        <w:t>academic governance reports demonstrating that the provider’s higher education operations are operating as planned at the level of quality intended (Standard 6.2.1f)</w:t>
      </w:r>
    </w:p>
    <w:p w14:paraId="003CDD4D" w14:textId="77777777" w:rsidR="00445935" w:rsidRPr="002F69C3" w:rsidRDefault="00445935" w:rsidP="00445935">
      <w:pPr>
        <w:pStyle w:val="ListParagraph"/>
        <w:numPr>
          <w:ilvl w:val="0"/>
          <w:numId w:val="14"/>
        </w:numPr>
        <w:contextualSpacing w:val="0"/>
        <w:rPr>
          <w:rFonts w:cs="Arial"/>
        </w:rPr>
      </w:pPr>
      <w:r w:rsidRPr="002F69C3">
        <w:rPr>
          <w:rFonts w:cs="Arial"/>
        </w:rPr>
        <w:t>equity/diversity reports that are relevant to the provider’s operations (Standard 6.2.1g)</w:t>
      </w:r>
    </w:p>
    <w:p w14:paraId="3A028D31" w14:textId="77777777" w:rsidR="00445935" w:rsidRPr="002F69C3" w:rsidRDefault="00445935" w:rsidP="00445935">
      <w:pPr>
        <w:pStyle w:val="ListParagraph"/>
        <w:numPr>
          <w:ilvl w:val="0"/>
          <w:numId w:val="14"/>
        </w:numPr>
        <w:contextualSpacing w:val="0"/>
        <w:rPr>
          <w:rFonts w:cs="Arial"/>
        </w:rPr>
      </w:pPr>
      <w:r w:rsidRPr="002F69C3">
        <w:rPr>
          <w:rFonts w:cs="Arial"/>
        </w:rPr>
        <w:t>evidence that effective controls for the secure issue of qualifications are in place (Standard 6.2.1h)</w:t>
      </w:r>
    </w:p>
    <w:p w14:paraId="0EEF6FD1" w14:textId="77777777" w:rsidR="00445935" w:rsidRPr="002F69C3" w:rsidRDefault="00445935" w:rsidP="00445935">
      <w:pPr>
        <w:pStyle w:val="ListParagraph"/>
        <w:numPr>
          <w:ilvl w:val="0"/>
          <w:numId w:val="14"/>
        </w:numPr>
        <w:contextualSpacing w:val="0"/>
        <w:rPr>
          <w:rFonts w:cs="Arial"/>
        </w:rPr>
      </w:pPr>
      <w:r>
        <w:rPr>
          <w:rFonts w:cs="Arial"/>
        </w:rPr>
        <w:t xml:space="preserve">evidence that </w:t>
      </w:r>
      <w:r w:rsidRPr="002F69C3">
        <w:rPr>
          <w:rFonts w:cs="Arial"/>
        </w:rPr>
        <w:t>tenable contingency plans are available to deal with unexpected events (Standard 6.2.1j)</w:t>
      </w:r>
    </w:p>
    <w:p w14:paraId="12A14CB7" w14:textId="77777777" w:rsidR="00445935" w:rsidRPr="002F69C3" w:rsidRDefault="00445935" w:rsidP="00445935">
      <w:pPr>
        <w:pStyle w:val="ListParagraph"/>
        <w:numPr>
          <w:ilvl w:val="0"/>
          <w:numId w:val="14"/>
        </w:numPr>
        <w:contextualSpacing w:val="0"/>
        <w:rPr>
          <w:rFonts w:cs="Arial"/>
        </w:rPr>
      </w:pPr>
      <w:r w:rsidRPr="002F69C3">
        <w:rPr>
          <w:rFonts w:cs="Arial"/>
        </w:rPr>
        <w:t>records of incidents and complaints that are maintained and used to inform risk management and prevent recurrences (Standard 6.2.1j, see also Standard 7.3.3)</w:t>
      </w:r>
    </w:p>
    <w:p w14:paraId="5108CD44" w14:textId="77777777" w:rsidR="00445935" w:rsidRPr="002F69C3" w:rsidRDefault="00445935" w:rsidP="00445935">
      <w:pPr>
        <w:pStyle w:val="ListParagraph"/>
        <w:numPr>
          <w:ilvl w:val="0"/>
          <w:numId w:val="14"/>
        </w:numPr>
        <w:contextualSpacing w:val="0"/>
        <w:rPr>
          <w:rFonts w:cs="Arial"/>
        </w:rPr>
      </w:pPr>
      <w:r>
        <w:rPr>
          <w:rFonts w:cs="Arial"/>
        </w:rPr>
        <w:t xml:space="preserve">evidence </w:t>
      </w:r>
      <w:r w:rsidRPr="002F69C3">
        <w:rPr>
          <w:rFonts w:cs="Arial"/>
        </w:rPr>
        <w:t>that mechanisms for identifying and managing lapses in meeting the requirements of the HES Framework are effective (Standard 6.2.1k, see also Standard 7.3.3).</w:t>
      </w:r>
      <w:r>
        <w:rPr>
          <w:rFonts w:cs="Arial"/>
        </w:rPr>
        <w:t xml:space="preserve"> </w:t>
      </w:r>
    </w:p>
    <w:p w14:paraId="59B779CD" w14:textId="77777777" w:rsidR="00445935" w:rsidRPr="002F4203" w:rsidRDefault="00445935" w:rsidP="00445935">
      <w:r>
        <w:t xml:space="preserve">TEQSA will need to be satisfied that the governing body’s mechanisms to assure itself that the requirements of the HES Framework are continuing to be met are both credible and effective. </w:t>
      </w:r>
      <w:r>
        <w:br/>
      </w:r>
    </w:p>
    <w:p w14:paraId="6EC88DFA" w14:textId="77777777" w:rsidR="00445935" w:rsidRPr="00863630" w:rsidRDefault="00445935" w:rsidP="00445935">
      <w:pPr>
        <w:pStyle w:val="Heading2"/>
      </w:pPr>
      <w:r>
        <w:t>Scope of assessments</w:t>
      </w:r>
    </w:p>
    <w:p w14:paraId="1EFBAE3A" w14:textId="77777777" w:rsidR="00445935" w:rsidRDefault="00445935" w:rsidP="00445935">
      <w:r>
        <w:t xml:space="preserve">If, </w:t>
      </w:r>
      <w:proofErr w:type="gramStart"/>
      <w:r>
        <w:t>as a result of</w:t>
      </w:r>
      <w:proofErr w:type="gramEnd"/>
      <w:r>
        <w:t xml:space="preserve"> looking in detail at the governing body’s activities, TEQSA is satisfied that the governing body is:</w:t>
      </w:r>
    </w:p>
    <w:p w14:paraId="3857AB08" w14:textId="77777777" w:rsidR="00445935" w:rsidRPr="00FE4154" w:rsidRDefault="00445935" w:rsidP="00445935">
      <w:pPr>
        <w:pStyle w:val="ListParagraph"/>
        <w:numPr>
          <w:ilvl w:val="0"/>
          <w:numId w:val="15"/>
        </w:numPr>
        <w:contextualSpacing w:val="0"/>
        <w:rPr>
          <w:rFonts w:cs="Arial"/>
        </w:rPr>
      </w:pPr>
      <w:r w:rsidRPr="008876EA">
        <w:rPr>
          <w:rFonts w:cs="Arial"/>
        </w:rPr>
        <w:t xml:space="preserve"> competent, diligent and effective in attending to the breadth of its governance responsibilities as required by the </w:t>
      </w:r>
      <w:r w:rsidRPr="00190FE4">
        <w:rPr>
          <w:rFonts w:cs="Arial"/>
        </w:rPr>
        <w:t xml:space="preserve">HES Framework, and </w:t>
      </w:r>
    </w:p>
    <w:p w14:paraId="16492215" w14:textId="77777777" w:rsidR="00445935" w:rsidRPr="002F69C3" w:rsidRDefault="00445935" w:rsidP="00445935">
      <w:pPr>
        <w:pStyle w:val="ListParagraph"/>
        <w:numPr>
          <w:ilvl w:val="0"/>
          <w:numId w:val="15"/>
        </w:numPr>
        <w:contextualSpacing w:val="0"/>
        <w:rPr>
          <w:rFonts w:cs="Arial"/>
        </w:rPr>
      </w:pPr>
      <w:r w:rsidRPr="002F69C3">
        <w:rPr>
          <w:rFonts w:cs="Arial"/>
        </w:rPr>
        <w:t>able to demonstrate that it is well informed about the provider’s operations, risks and</w:t>
      </w:r>
      <w:r>
        <w:rPr>
          <w:rFonts w:cs="Arial"/>
        </w:rPr>
        <w:t xml:space="preserve"> </w:t>
      </w:r>
      <w:r w:rsidRPr="002F69C3">
        <w:rPr>
          <w:rFonts w:cs="Arial"/>
        </w:rPr>
        <w:t xml:space="preserve">sustainability through its internal assurance mechanisms, </w:t>
      </w:r>
    </w:p>
    <w:p w14:paraId="0EAD40BF" w14:textId="77777777" w:rsidR="00445935" w:rsidRDefault="00445935" w:rsidP="00445935">
      <w:r>
        <w:t xml:space="preserve">this will build TEQSA’s level of confidence in the provider overall. </w:t>
      </w:r>
    </w:p>
    <w:p w14:paraId="27998CF2" w14:textId="77777777" w:rsidR="00445935" w:rsidRDefault="00445935" w:rsidP="00445935">
      <w:r>
        <w:t>This confidence may allow TEQSA to reduce its evidence requirements for other Standards or for subsequent regulatory activities. On the other hand, if concerns are raised in relation to the provider’s capabilities in corporate governance or its internal assurance mechanisms, this may require TEQSA to probe other areas of the provider’s operations in more detail where the provider is not already doing so effectively as part of its own routine governance and monitoring work.</w:t>
      </w:r>
    </w:p>
    <w:p w14:paraId="48C0E42C" w14:textId="77777777" w:rsidR="00445935" w:rsidRDefault="00445935" w:rsidP="00445935">
      <w:pPr>
        <w:rPr>
          <w:b/>
        </w:rPr>
      </w:pPr>
    </w:p>
    <w:p w14:paraId="2AFE5808" w14:textId="77777777" w:rsidR="00445935" w:rsidRPr="00863630" w:rsidRDefault="00445935" w:rsidP="00445935">
      <w:pPr>
        <w:pStyle w:val="Heading2"/>
      </w:pPr>
      <w:r>
        <w:lastRenderedPageBreak/>
        <w:t>Resources and references</w:t>
      </w:r>
    </w:p>
    <w:p w14:paraId="7A8401E5" w14:textId="77777777" w:rsidR="00445935" w:rsidRDefault="00445935" w:rsidP="00445935">
      <w:r w:rsidRPr="00227FC2">
        <w:t xml:space="preserve">ASX Corporate </w:t>
      </w:r>
      <w:r>
        <w:t>G</w:t>
      </w:r>
      <w:r w:rsidRPr="00227FC2">
        <w:t>overnance Council</w:t>
      </w:r>
      <w:r>
        <w:t xml:space="preserve"> (2014)</w:t>
      </w:r>
      <w:r w:rsidRPr="00227FC2">
        <w:t xml:space="preserve">, </w:t>
      </w:r>
      <w:r w:rsidRPr="00227FC2">
        <w:rPr>
          <w:i/>
        </w:rPr>
        <w:t xml:space="preserve">Corporate </w:t>
      </w:r>
      <w:r>
        <w:rPr>
          <w:i/>
        </w:rPr>
        <w:t>G</w:t>
      </w:r>
      <w:r w:rsidRPr="00227FC2">
        <w:rPr>
          <w:i/>
        </w:rPr>
        <w:t xml:space="preserve">overnance </w:t>
      </w:r>
      <w:r>
        <w:rPr>
          <w:i/>
        </w:rPr>
        <w:t>P</w:t>
      </w:r>
      <w:r w:rsidRPr="00227FC2">
        <w:rPr>
          <w:i/>
        </w:rPr>
        <w:t xml:space="preserve">rinciples and </w:t>
      </w:r>
      <w:r>
        <w:rPr>
          <w:i/>
        </w:rPr>
        <w:t>R</w:t>
      </w:r>
      <w:r w:rsidRPr="00227FC2">
        <w:rPr>
          <w:i/>
        </w:rPr>
        <w:t>ecommendations</w:t>
      </w:r>
      <w:r w:rsidRPr="00227FC2">
        <w:t>, 3</w:t>
      </w:r>
      <w:r w:rsidRPr="00227FC2">
        <w:rPr>
          <w:vertAlign w:val="superscript"/>
        </w:rPr>
        <w:t>rd</w:t>
      </w:r>
      <w:r w:rsidRPr="00227FC2">
        <w:t xml:space="preserve"> edition</w:t>
      </w:r>
      <w:r>
        <w:t>.</w:t>
      </w:r>
    </w:p>
    <w:p w14:paraId="3549A9F9" w14:textId="77777777" w:rsidR="00445935" w:rsidRDefault="00445935" w:rsidP="00445935">
      <w:r w:rsidRPr="00227FC2">
        <w:t>Committee of University Chairs</w:t>
      </w:r>
      <w:r>
        <w:t xml:space="preserve">, </w:t>
      </w:r>
      <w:r w:rsidRPr="00227FC2">
        <w:t>Higher Educati</w:t>
      </w:r>
      <w:r>
        <w:t xml:space="preserve">on Funding Council for England (2009), </w:t>
      </w:r>
      <w:r w:rsidRPr="00227FC2">
        <w:rPr>
          <w:i/>
        </w:rPr>
        <w:t xml:space="preserve">Guide for </w:t>
      </w:r>
      <w:r>
        <w:rPr>
          <w:i/>
        </w:rPr>
        <w:t>M</w:t>
      </w:r>
      <w:r w:rsidRPr="00227FC2">
        <w:rPr>
          <w:i/>
        </w:rPr>
        <w:t xml:space="preserve">embers of </w:t>
      </w:r>
      <w:r>
        <w:rPr>
          <w:i/>
        </w:rPr>
        <w:t>H</w:t>
      </w:r>
      <w:r w:rsidRPr="00227FC2">
        <w:rPr>
          <w:i/>
        </w:rPr>
        <w:t xml:space="preserve">igher </w:t>
      </w:r>
      <w:r>
        <w:rPr>
          <w:i/>
        </w:rPr>
        <w:t>E</w:t>
      </w:r>
      <w:r w:rsidRPr="00227FC2">
        <w:rPr>
          <w:i/>
        </w:rPr>
        <w:t xml:space="preserve">ducation </w:t>
      </w:r>
      <w:r>
        <w:rPr>
          <w:i/>
        </w:rPr>
        <w:t>G</w:t>
      </w:r>
      <w:r w:rsidRPr="00227FC2">
        <w:rPr>
          <w:i/>
        </w:rPr>
        <w:t xml:space="preserve">overning </w:t>
      </w:r>
      <w:r>
        <w:rPr>
          <w:i/>
        </w:rPr>
        <w:t>B</w:t>
      </w:r>
      <w:r w:rsidRPr="00227FC2">
        <w:rPr>
          <w:i/>
        </w:rPr>
        <w:t>odies in the UK</w:t>
      </w:r>
      <w:r>
        <w:t>.</w:t>
      </w:r>
    </w:p>
    <w:p w14:paraId="660A91FE" w14:textId="77777777" w:rsidR="00445935" w:rsidRPr="00227FC2" w:rsidRDefault="00445935" w:rsidP="00445935">
      <w:r>
        <w:t xml:space="preserve">Governance Institute of Australia </w:t>
      </w:r>
      <w:r w:rsidR="00373195">
        <w:t xml:space="preserve">and Australian Institute of Company Directors </w:t>
      </w:r>
      <w:r>
        <w:t>(201</w:t>
      </w:r>
      <w:r w:rsidR="00373195">
        <w:t>9)</w:t>
      </w:r>
      <w:r>
        <w:t xml:space="preserve">, </w:t>
      </w:r>
      <w:r w:rsidR="00373195">
        <w:rPr>
          <w:i/>
        </w:rPr>
        <w:t>Joint statement on board minutes.</w:t>
      </w:r>
    </w:p>
    <w:p w14:paraId="3E8FA3A0" w14:textId="77777777" w:rsidR="00445935" w:rsidRPr="00227FC2" w:rsidRDefault="00445935" w:rsidP="00445935">
      <w:proofErr w:type="spellStart"/>
      <w:r w:rsidRPr="00227FC2">
        <w:t>Hénar</w:t>
      </w:r>
      <w:r>
        <w:t>d</w:t>
      </w:r>
      <w:proofErr w:type="spellEnd"/>
      <w:r>
        <w:t xml:space="preserve">, F. and </w:t>
      </w:r>
      <w:proofErr w:type="spellStart"/>
      <w:r>
        <w:t>Mitterle</w:t>
      </w:r>
      <w:proofErr w:type="spellEnd"/>
      <w:r>
        <w:t xml:space="preserve">, A. (2010), </w:t>
      </w:r>
      <w:r w:rsidRPr="00227FC2">
        <w:rPr>
          <w:i/>
        </w:rPr>
        <w:t>Governance and quality guidelines in Higher Education: A review of governance arrangements and quality assurance guidelines</w:t>
      </w:r>
      <w:r w:rsidRPr="00227FC2">
        <w:t xml:space="preserve">, </w:t>
      </w:r>
      <w:r>
        <w:t>OECD.</w:t>
      </w:r>
    </w:p>
    <w:p w14:paraId="27850F9D" w14:textId="77777777" w:rsidR="00445935" w:rsidRPr="00227FC2" w:rsidRDefault="00445935" w:rsidP="00445935">
      <w:r w:rsidRPr="000A1E83">
        <w:t>OECD (2015),</w:t>
      </w:r>
      <w:r w:rsidRPr="00227FC2">
        <w:rPr>
          <w:i/>
        </w:rPr>
        <w:t xml:space="preserve"> </w:t>
      </w:r>
      <w:r w:rsidRPr="000A1E83">
        <w:rPr>
          <w:i/>
        </w:rPr>
        <w:t xml:space="preserve">G20/OECD </w:t>
      </w:r>
      <w:r w:rsidRPr="00227FC2">
        <w:rPr>
          <w:i/>
        </w:rPr>
        <w:t>Principles of Corporate Governance</w:t>
      </w:r>
      <w:r>
        <w:t>.</w:t>
      </w:r>
    </w:p>
    <w:p w14:paraId="36B4AF63" w14:textId="77777777" w:rsidR="00445935" w:rsidRDefault="00445935" w:rsidP="00445935">
      <w:pPr>
        <w:autoSpaceDE w:val="0"/>
        <w:autoSpaceDN w:val="0"/>
        <w:adjustRightInd w:val="0"/>
        <w:rPr>
          <w:rFonts w:cs="Arial"/>
          <w:color w:val="000000"/>
        </w:rPr>
      </w:pPr>
      <w:r w:rsidRPr="0029002C">
        <w:rPr>
          <w:rFonts w:cstheme="minorHAnsi"/>
          <w:iCs/>
        </w:rPr>
        <w:t>Quality Assurance Agency</w:t>
      </w:r>
      <w:r>
        <w:rPr>
          <w:rFonts w:cstheme="minorHAnsi"/>
          <w:iCs/>
        </w:rPr>
        <w:t xml:space="preserve"> (2014)</w:t>
      </w:r>
      <w:r w:rsidRPr="00D264CC">
        <w:rPr>
          <w:rFonts w:cstheme="minorHAnsi"/>
          <w:iCs/>
        </w:rPr>
        <w:t xml:space="preserve">, </w:t>
      </w:r>
      <w:r w:rsidRPr="00D264CC">
        <w:rPr>
          <w:rFonts w:cstheme="minorHAnsi"/>
          <w:i/>
          <w:iCs/>
        </w:rPr>
        <w:t xml:space="preserve">UK </w:t>
      </w:r>
      <w:r>
        <w:rPr>
          <w:rFonts w:cstheme="minorHAnsi"/>
          <w:i/>
          <w:iCs/>
        </w:rPr>
        <w:t>Q</w:t>
      </w:r>
      <w:r w:rsidRPr="00D264CC">
        <w:rPr>
          <w:rFonts w:cstheme="minorHAnsi"/>
          <w:i/>
          <w:iCs/>
        </w:rPr>
        <w:t xml:space="preserve">uality </w:t>
      </w:r>
      <w:r>
        <w:rPr>
          <w:rFonts w:cstheme="minorHAnsi"/>
          <w:i/>
          <w:iCs/>
        </w:rPr>
        <w:t>C</w:t>
      </w:r>
      <w:r w:rsidRPr="00D264CC">
        <w:rPr>
          <w:rFonts w:cstheme="minorHAnsi"/>
          <w:i/>
          <w:iCs/>
        </w:rPr>
        <w:t xml:space="preserve">ode for </w:t>
      </w:r>
      <w:r>
        <w:rPr>
          <w:rFonts w:cstheme="minorHAnsi"/>
          <w:i/>
          <w:iCs/>
        </w:rPr>
        <w:t>H</w:t>
      </w:r>
      <w:r w:rsidRPr="00D264CC">
        <w:rPr>
          <w:rFonts w:cstheme="minorHAnsi"/>
          <w:i/>
          <w:iCs/>
        </w:rPr>
        <w:t xml:space="preserve">igher </w:t>
      </w:r>
      <w:r>
        <w:rPr>
          <w:rFonts w:cstheme="minorHAnsi"/>
          <w:i/>
          <w:iCs/>
        </w:rPr>
        <w:t>E</w:t>
      </w:r>
      <w:r w:rsidRPr="00D264CC">
        <w:rPr>
          <w:rFonts w:cstheme="minorHAnsi"/>
          <w:i/>
          <w:iCs/>
        </w:rPr>
        <w:t xml:space="preserve">ducation, </w:t>
      </w:r>
      <w:r>
        <w:rPr>
          <w:rFonts w:cs="Arial"/>
          <w:color w:val="000000"/>
        </w:rPr>
        <w:t>&lt;</w:t>
      </w:r>
      <w:hyperlink r:id="rId10" w:history="1">
        <w:r w:rsidR="00E24F7B" w:rsidRPr="00A00D1C">
          <w:rPr>
            <w:rStyle w:val="Hyperlink"/>
            <w:rFonts w:cs="Arial"/>
          </w:rPr>
          <w:t>http://www.qaa.ac.uk/assuring-standards-and-quality</w:t>
        </w:r>
      </w:hyperlink>
      <w:r>
        <w:rPr>
          <w:rFonts w:cs="Arial"/>
          <w:color w:val="000000"/>
        </w:rPr>
        <w:t>&gt;.</w:t>
      </w:r>
    </w:p>
    <w:p w14:paraId="4CB92907" w14:textId="77777777" w:rsidR="00445935" w:rsidRDefault="00445935" w:rsidP="00445935">
      <w:pPr>
        <w:spacing w:after="200" w:line="276" w:lineRule="auto"/>
        <w:rPr>
          <w:rFonts w:cstheme="minorHAnsi"/>
          <w:iCs/>
        </w:rPr>
      </w:pPr>
      <w:r>
        <w:rPr>
          <w:rFonts w:cstheme="minorHAnsi"/>
          <w:iCs/>
        </w:rPr>
        <w:t xml:space="preserve">TEQSA (2016), </w:t>
      </w:r>
      <w:r w:rsidRPr="00760A2C">
        <w:rPr>
          <w:rFonts w:cstheme="minorHAnsi"/>
          <w:i/>
          <w:iCs/>
        </w:rPr>
        <w:t>Explanations of terms in Part A of the HES Framework 2015</w:t>
      </w:r>
      <w:r>
        <w:rPr>
          <w:rFonts w:cstheme="minorHAnsi"/>
          <w:iCs/>
        </w:rPr>
        <w:t>, &lt;</w:t>
      </w:r>
      <w:hyperlink r:id="rId11" w:history="1">
        <w:r w:rsidRPr="00C639FE">
          <w:rPr>
            <w:rStyle w:val="Hyperlink"/>
          </w:rPr>
          <w:t>http://www.teqsa.gov.au/explanations-hes-framework-terms</w:t>
        </w:r>
      </w:hyperlink>
      <w:r>
        <w:rPr>
          <w:rFonts w:cstheme="minorHAnsi"/>
          <w:iCs/>
        </w:rPr>
        <w:t xml:space="preserve">&gt;. </w:t>
      </w:r>
    </w:p>
    <w:p w14:paraId="7667D6FE" w14:textId="77777777" w:rsidR="00445935" w:rsidRDefault="00DF58D5" w:rsidP="00445935">
      <w:r>
        <w:t>Universities Australia (2018</w:t>
      </w:r>
      <w:r w:rsidR="00445935">
        <w:t xml:space="preserve">), </w:t>
      </w:r>
      <w:r w:rsidR="00445935" w:rsidRPr="00204834">
        <w:rPr>
          <w:i/>
        </w:rPr>
        <w:t xml:space="preserve">Voluntary Code of Best Practice for the Governance of Australian </w:t>
      </w:r>
      <w:r w:rsidR="00C52AD9">
        <w:rPr>
          <w:i/>
        </w:rPr>
        <w:t xml:space="preserve">Public </w:t>
      </w:r>
      <w:r w:rsidR="00445935" w:rsidRPr="00204834">
        <w:rPr>
          <w:i/>
        </w:rPr>
        <w:t>Universities,</w:t>
      </w:r>
      <w:r w:rsidR="00445935">
        <w:t xml:space="preserve"> &lt;</w:t>
      </w:r>
      <w:hyperlink r:id="rId12" w:history="1">
        <w:r w:rsidR="004604EE">
          <w:rPr>
            <w:rStyle w:val="Hyperlink"/>
          </w:rPr>
          <w:t>https://static1.squarespace.com/static/5b984f4e5ffd2046651aea73/t/5bceb2aeec212d6baa8c2e19/1540272816529/Voluntary-Code-of-Best-Practice-for-the-Governance-of-Australian-Universities-May-2018.pdf</w:t>
        </w:r>
      </w:hyperlink>
      <w:r w:rsidR="00445935">
        <w:t>&gt;.</w:t>
      </w:r>
      <w:r w:rsidR="00445935" w:rsidRPr="00204834">
        <w:t xml:space="preserve"> </w:t>
      </w:r>
    </w:p>
    <w:p w14:paraId="08AFCC3B" w14:textId="77777777" w:rsidR="00B77F75" w:rsidRDefault="00B77F75" w:rsidP="00445935"/>
    <w:p w14:paraId="5B3AB3F2" w14:textId="77777777" w:rsidR="00B77F75" w:rsidRDefault="00B77F75" w:rsidP="00445935">
      <w:r w:rsidRPr="00B77F75">
        <w:t xml:space="preserve">TEQSA welcomes the diversity of educational delivery across the sector and acknowledges that its Guidance Notes may not encompass </w:t>
      </w:r>
      <w:proofErr w:type="gramStart"/>
      <w:r w:rsidRPr="00B77F75">
        <w:t>all of</w:t>
      </w:r>
      <w:proofErr w:type="gramEnd"/>
      <w:r w:rsidRPr="00B77F75">
        <w:t xml:space="preserve">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p w14:paraId="761633D0" w14:textId="77777777" w:rsidR="00445935" w:rsidRDefault="00445935" w:rsidP="00445935">
      <w:pPr>
        <w:rPr>
          <w:lang w:val="en-US"/>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445935" w:rsidRPr="00110318" w14:paraId="24617A53" w14:textId="77777777" w:rsidTr="00C5342A">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4CCE97CA" w14:textId="77777777" w:rsidR="00445935" w:rsidRPr="009C4E44" w:rsidRDefault="00445935" w:rsidP="00077479">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2CA20982" w14:textId="77777777" w:rsidR="00445935" w:rsidRPr="009C4E44" w:rsidRDefault="00445935" w:rsidP="00077479">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5F5393FF" w14:textId="77777777" w:rsidR="00445935" w:rsidRPr="009C4E44" w:rsidRDefault="00445935" w:rsidP="00077479">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445935" w14:paraId="2318E753" w14:textId="77777777" w:rsidTr="00077479">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A9E9014" w14:textId="77777777" w:rsidR="00445935" w:rsidRDefault="00445935" w:rsidP="00947D07">
            <w:pPr>
              <w:pStyle w:val="Normal1"/>
              <w:spacing w:line="240" w:lineRule="auto"/>
              <w:rPr>
                <w:sz w:val="20"/>
                <w:szCs w:val="20"/>
                <w:lang w:val="en-US"/>
              </w:rPr>
            </w:pPr>
            <w:r>
              <w:rPr>
                <w:sz w:val="20"/>
                <w:szCs w:val="20"/>
                <w:lang w:val="en-US"/>
              </w:rPr>
              <w:t>1.0</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400A2582" w14:textId="77777777" w:rsidR="00445935" w:rsidRDefault="00445935">
            <w:pPr>
              <w:pStyle w:val="Normal1"/>
              <w:spacing w:line="240" w:lineRule="auto"/>
              <w:rPr>
                <w:sz w:val="20"/>
                <w:szCs w:val="20"/>
                <w:lang w:val="en-US"/>
              </w:rPr>
            </w:pPr>
            <w:r>
              <w:rPr>
                <w:sz w:val="20"/>
                <w:szCs w:val="20"/>
                <w:lang w:val="en-US"/>
              </w:rPr>
              <w:t>April 2015</w:t>
            </w: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604DC8B0" w14:textId="77777777" w:rsidR="00445935" w:rsidRDefault="00445935">
            <w:pPr>
              <w:pStyle w:val="Normal1"/>
              <w:spacing w:line="240" w:lineRule="auto"/>
              <w:rPr>
                <w:sz w:val="20"/>
                <w:szCs w:val="20"/>
                <w:lang w:val="en-US"/>
              </w:rPr>
            </w:pPr>
          </w:p>
        </w:tc>
      </w:tr>
      <w:tr w:rsidR="00445935" w14:paraId="7959F49D" w14:textId="77777777" w:rsidTr="00077479">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D6F1766" w14:textId="77777777" w:rsidR="00445935" w:rsidRPr="008553D3" w:rsidRDefault="00445935" w:rsidP="00947D07">
            <w:pPr>
              <w:pStyle w:val="Normal1"/>
              <w:spacing w:line="240" w:lineRule="auto"/>
              <w:rPr>
                <w:sz w:val="20"/>
                <w:szCs w:val="20"/>
                <w:highlight w:val="yellow"/>
                <w:lang w:val="en-US"/>
              </w:rPr>
            </w:pPr>
            <w:r w:rsidRPr="00CD4335">
              <w:rPr>
                <w:sz w:val="20"/>
                <w:szCs w:val="20"/>
                <w:lang w:val="en-US"/>
              </w:rPr>
              <w:t>2.0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9E15907" w14:textId="77777777" w:rsidR="00445935" w:rsidRPr="00CB66D4" w:rsidRDefault="00445935">
            <w:pPr>
              <w:pStyle w:val="Normal1"/>
              <w:spacing w:line="240" w:lineRule="auto"/>
              <w:rPr>
                <w:sz w:val="20"/>
                <w:szCs w:val="20"/>
                <w:highlight w:val="yellow"/>
                <w:lang w:val="en-US"/>
              </w:rPr>
            </w:pPr>
            <w:r>
              <w:rPr>
                <w:sz w:val="20"/>
                <w:szCs w:val="20"/>
                <w:lang w:val="en-US"/>
              </w:rPr>
              <w:t>13 April</w:t>
            </w:r>
            <w:r w:rsidRPr="00CD4335">
              <w:rPr>
                <w:sz w:val="20"/>
                <w:szCs w:val="20"/>
                <w:lang w:val="en-US"/>
              </w:rPr>
              <w:t xml:space="preserve">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5214B7E" w14:textId="77777777" w:rsidR="00445935" w:rsidRDefault="00445935">
            <w:pPr>
              <w:pStyle w:val="Normal1"/>
              <w:spacing w:line="240" w:lineRule="auto"/>
              <w:rPr>
                <w:sz w:val="20"/>
                <w:szCs w:val="20"/>
                <w:lang w:val="en-US"/>
              </w:rPr>
            </w:pPr>
            <w:r>
              <w:rPr>
                <w:sz w:val="20"/>
                <w:szCs w:val="20"/>
                <w:lang w:val="en-US"/>
              </w:rPr>
              <w:t>Updated for the HESF 2015 and made available as beta version for consultation.</w:t>
            </w:r>
          </w:p>
        </w:tc>
      </w:tr>
      <w:tr w:rsidR="00445935" w14:paraId="0B089A24" w14:textId="77777777" w:rsidTr="00077479">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B0A350E" w14:textId="77777777" w:rsidR="00445935" w:rsidRDefault="00445935" w:rsidP="00947D07">
            <w:pPr>
              <w:pStyle w:val="Normal1"/>
              <w:spacing w:line="240" w:lineRule="auto"/>
              <w:rPr>
                <w:sz w:val="20"/>
                <w:szCs w:val="20"/>
                <w:lang w:val="en-US"/>
              </w:rPr>
            </w:pPr>
            <w:r w:rsidRPr="00E93B3A">
              <w:rPr>
                <w:sz w:val="20"/>
                <w:szCs w:val="20"/>
                <w:lang w:val="en-US"/>
              </w:rPr>
              <w:t>2.1</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1A2240B" w14:textId="77777777" w:rsidR="00445935" w:rsidRPr="00CB66D4" w:rsidRDefault="00445935">
            <w:pPr>
              <w:pStyle w:val="Normal1"/>
              <w:spacing w:line="240" w:lineRule="auto"/>
              <w:rPr>
                <w:sz w:val="20"/>
                <w:szCs w:val="20"/>
                <w:highlight w:val="yellow"/>
                <w:lang w:val="en-US"/>
              </w:rPr>
            </w:pPr>
            <w:r w:rsidRPr="00A108F9">
              <w:rPr>
                <w:sz w:val="20"/>
                <w:szCs w:val="20"/>
                <w:lang w:val="en-US"/>
              </w:rPr>
              <w:t xml:space="preserve">19 August </w:t>
            </w:r>
            <w:r w:rsidRPr="008262B1">
              <w:rPr>
                <w:sz w:val="20"/>
                <w:szCs w:val="20"/>
                <w:lang w:val="en-US"/>
              </w:rPr>
              <w:t>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44D782F" w14:textId="77777777" w:rsidR="00445935" w:rsidRDefault="00445935">
            <w:pPr>
              <w:pStyle w:val="Normal1"/>
              <w:spacing w:line="240" w:lineRule="auto"/>
              <w:rPr>
                <w:sz w:val="20"/>
                <w:szCs w:val="20"/>
                <w:lang w:val="en-US"/>
              </w:rPr>
            </w:pPr>
            <w:r>
              <w:rPr>
                <w:sz w:val="20"/>
                <w:szCs w:val="20"/>
                <w:lang w:val="en-US"/>
              </w:rPr>
              <w:t>Incorporated feedback from consultation, including elaboration on meeting minutes and governing body ownership, and revisions to appendices A and B.</w:t>
            </w:r>
          </w:p>
        </w:tc>
      </w:tr>
      <w:tr w:rsidR="00445935" w14:paraId="27CC89A6" w14:textId="77777777" w:rsidTr="00077479">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40DFC3E" w14:textId="77777777" w:rsidR="00445935" w:rsidRPr="00E93B3A" w:rsidRDefault="00445935" w:rsidP="00947D07">
            <w:pPr>
              <w:pStyle w:val="Normal1"/>
              <w:spacing w:line="240" w:lineRule="auto"/>
              <w:rPr>
                <w:sz w:val="20"/>
                <w:szCs w:val="20"/>
                <w:lang w:val="en-US"/>
              </w:rPr>
            </w:pPr>
            <w:r>
              <w:rPr>
                <w:sz w:val="20"/>
                <w:szCs w:val="20"/>
                <w:lang w:val="en-US"/>
              </w:rPr>
              <w:t>2.2</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792B3F6" w14:textId="77777777" w:rsidR="00445935" w:rsidRPr="00A108F9" w:rsidRDefault="00445935">
            <w:pPr>
              <w:pStyle w:val="Normal1"/>
              <w:spacing w:line="240" w:lineRule="auto"/>
              <w:rPr>
                <w:sz w:val="20"/>
                <w:szCs w:val="20"/>
                <w:lang w:val="en-US"/>
              </w:rPr>
            </w:pPr>
            <w:r>
              <w:rPr>
                <w:sz w:val="20"/>
                <w:szCs w:val="20"/>
                <w:lang w:val="en-US"/>
              </w:rPr>
              <w:t>5 April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20EAB40" w14:textId="77777777" w:rsidR="00445935" w:rsidRPr="001D36D6" w:rsidRDefault="00445935" w:rsidP="001164C3">
            <w:pPr>
              <w:spacing w:before="0" w:after="0"/>
            </w:pPr>
            <w:r>
              <w:rPr>
                <w:sz w:val="20"/>
                <w:szCs w:val="20"/>
                <w:lang w:val="en-US"/>
              </w:rPr>
              <w:t xml:space="preserve">Updated with references to the </w:t>
            </w:r>
            <w:r w:rsidRPr="008E7F05">
              <w:rPr>
                <w:sz w:val="20"/>
                <w:szCs w:val="20"/>
                <w:lang w:val="en-US"/>
              </w:rPr>
              <w:t>Governance Institute of Australia as well as clarification that all references to links with ‘the provider’ below also apply to links with associated entities.</w:t>
            </w:r>
          </w:p>
        </w:tc>
      </w:tr>
      <w:tr w:rsidR="00F326BC" w14:paraId="68A9B89C" w14:textId="77777777" w:rsidTr="00077479">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CC95F26" w14:textId="77777777" w:rsidR="00F326BC" w:rsidRDefault="00F326BC" w:rsidP="00947D07">
            <w:pPr>
              <w:pStyle w:val="Normal1"/>
              <w:spacing w:line="240" w:lineRule="auto"/>
              <w:rPr>
                <w:sz w:val="20"/>
                <w:szCs w:val="20"/>
                <w:lang w:val="en-US"/>
              </w:rPr>
            </w:pPr>
            <w:r>
              <w:rPr>
                <w:sz w:val="20"/>
                <w:szCs w:val="20"/>
                <w:lang w:val="en-US"/>
              </w:rPr>
              <w:t>2.3</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4541757" w14:textId="77777777" w:rsidR="00F326BC" w:rsidRDefault="001164C3">
            <w:pPr>
              <w:pStyle w:val="Normal1"/>
              <w:spacing w:line="240" w:lineRule="auto"/>
              <w:rPr>
                <w:sz w:val="20"/>
                <w:szCs w:val="20"/>
                <w:lang w:val="en-US"/>
              </w:rPr>
            </w:pPr>
            <w:r>
              <w:rPr>
                <w:sz w:val="20"/>
                <w:szCs w:val="20"/>
                <w:lang w:val="en-US"/>
              </w:rPr>
              <w:t>11 October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91012B0" w14:textId="77777777" w:rsidR="00F326BC" w:rsidRDefault="00947D07" w:rsidP="001164C3">
            <w:pPr>
              <w:spacing w:before="0" w:after="0"/>
              <w:rPr>
                <w:sz w:val="20"/>
                <w:szCs w:val="20"/>
                <w:lang w:val="en-US"/>
              </w:rPr>
            </w:pPr>
            <w:r>
              <w:rPr>
                <w:sz w:val="20"/>
                <w:szCs w:val="20"/>
                <w:lang w:val="en-US"/>
              </w:rPr>
              <w:t>Addition to ‘What will TEQSA look for?” text box.</w:t>
            </w:r>
          </w:p>
        </w:tc>
      </w:tr>
      <w:tr w:rsidR="00373195" w14:paraId="0974DB30" w14:textId="77777777" w:rsidTr="00077479">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21C2E3C" w14:textId="77777777" w:rsidR="00373195" w:rsidRDefault="00373195" w:rsidP="00947D07">
            <w:pPr>
              <w:pStyle w:val="Normal1"/>
              <w:spacing w:line="240" w:lineRule="auto"/>
              <w:rPr>
                <w:sz w:val="20"/>
                <w:szCs w:val="20"/>
                <w:lang w:val="en-US"/>
              </w:rPr>
            </w:pPr>
            <w:r>
              <w:rPr>
                <w:sz w:val="20"/>
                <w:szCs w:val="20"/>
                <w:lang w:val="en-US"/>
              </w:rPr>
              <w:t>2.4</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E268D6A" w14:textId="77777777" w:rsidR="00373195" w:rsidRDefault="00A00761">
            <w:pPr>
              <w:pStyle w:val="Normal1"/>
              <w:spacing w:line="240" w:lineRule="auto"/>
              <w:rPr>
                <w:sz w:val="20"/>
                <w:szCs w:val="20"/>
                <w:lang w:val="en-US"/>
              </w:rPr>
            </w:pPr>
            <w:r>
              <w:rPr>
                <w:sz w:val="20"/>
                <w:szCs w:val="20"/>
                <w:lang w:val="en-US"/>
              </w:rPr>
              <w:t>26</w:t>
            </w:r>
            <w:r w:rsidR="00373195">
              <w:rPr>
                <w:sz w:val="20"/>
                <w:szCs w:val="20"/>
                <w:lang w:val="en-US"/>
              </w:rPr>
              <w:t xml:space="preserve"> August 2019</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480BD846" w14:textId="77777777" w:rsidR="00373195" w:rsidRDefault="00373195" w:rsidP="001164C3">
            <w:pPr>
              <w:spacing w:before="0" w:after="0"/>
              <w:rPr>
                <w:sz w:val="20"/>
                <w:szCs w:val="20"/>
                <w:lang w:val="en-US"/>
              </w:rPr>
            </w:pPr>
            <w:r>
              <w:rPr>
                <w:sz w:val="20"/>
                <w:szCs w:val="20"/>
                <w:lang w:val="en-US"/>
              </w:rPr>
              <w:t>New reference to GIA/AICD Joint statement on board minutes</w:t>
            </w:r>
          </w:p>
        </w:tc>
      </w:tr>
    </w:tbl>
    <w:p w14:paraId="6309672C" w14:textId="77777777" w:rsidR="00445935" w:rsidRDefault="00445935" w:rsidP="00445935">
      <w:pPr>
        <w:rPr>
          <w:lang w:val="en-US"/>
        </w:rPr>
      </w:pPr>
    </w:p>
    <w:p w14:paraId="7AC7FFA9" w14:textId="77777777" w:rsidR="00445935" w:rsidRPr="00DA737C" w:rsidRDefault="00445935" w:rsidP="00445935">
      <w:pPr>
        <w:rPr>
          <w:lang w:val="en-US"/>
        </w:rPr>
      </w:pPr>
    </w:p>
    <w:sectPr w:rsidR="00445935" w:rsidRPr="00DA737C" w:rsidSect="00FF2540">
      <w:headerReference w:type="default" r:id="rId13"/>
      <w:footerReference w:type="default" r:id="rId14"/>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483A1" w14:textId="77777777" w:rsidR="00AB166A" w:rsidRDefault="00AB166A" w:rsidP="006C328D">
      <w:pPr>
        <w:spacing w:before="0" w:after="0"/>
      </w:pPr>
      <w:r>
        <w:separator/>
      </w:r>
    </w:p>
  </w:endnote>
  <w:endnote w:type="continuationSeparator" w:id="0">
    <w:p w14:paraId="40BA9752" w14:textId="77777777" w:rsidR="00AB166A" w:rsidRDefault="00AB166A"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66908207" w14:textId="77777777"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C52AD9">
              <w:rPr>
                <w:b/>
                <w:bCs/>
                <w:noProof/>
                <w:color w:val="00847E" w:themeColor="accent1"/>
                <w:sz w:val="20"/>
                <w:szCs w:val="20"/>
              </w:rPr>
              <w:t>11</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C52AD9">
              <w:rPr>
                <w:b/>
                <w:bCs/>
                <w:noProof/>
                <w:color w:val="00847E" w:themeColor="accent1"/>
                <w:sz w:val="20"/>
                <w:szCs w:val="20"/>
              </w:rPr>
              <w:t>11</w:t>
            </w:r>
            <w:r w:rsidRPr="00FF2540">
              <w:rPr>
                <w:b/>
                <w:bCs/>
                <w:color w:val="00847E" w:themeColor="accent1"/>
                <w:sz w:val="20"/>
                <w:szCs w:val="20"/>
              </w:rPr>
              <w:fldChar w:fldCharType="end"/>
            </w:r>
          </w:p>
        </w:sdtContent>
      </w:sdt>
    </w:sdtContent>
  </w:sdt>
  <w:p w14:paraId="50D94219" w14:textId="77777777"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9A714" w14:textId="77777777" w:rsidR="00AB166A" w:rsidRDefault="00AB166A" w:rsidP="006C328D">
      <w:pPr>
        <w:spacing w:before="0" w:after="0"/>
      </w:pPr>
      <w:r>
        <w:separator/>
      </w:r>
    </w:p>
  </w:footnote>
  <w:footnote w:type="continuationSeparator" w:id="0">
    <w:p w14:paraId="081B769F" w14:textId="77777777" w:rsidR="00AB166A" w:rsidRDefault="00AB166A" w:rsidP="006C328D">
      <w:pPr>
        <w:spacing w:before="0" w:after="0"/>
      </w:pPr>
      <w:r>
        <w:continuationSeparator/>
      </w:r>
    </w:p>
  </w:footnote>
  <w:footnote w:id="1">
    <w:p w14:paraId="20A268C3" w14:textId="77777777" w:rsidR="00445935" w:rsidRPr="004C7701" w:rsidRDefault="00445935" w:rsidP="00445935">
      <w:pPr>
        <w:pStyle w:val="FootnoteText"/>
        <w:ind w:left="142" w:hanging="142"/>
      </w:pPr>
      <w:r>
        <w:rPr>
          <w:rStyle w:val="FootnoteReference"/>
        </w:rPr>
        <w:footnoteRef/>
      </w:r>
      <w:r>
        <w:t xml:space="preserve"> </w:t>
      </w:r>
      <w:r>
        <w:tab/>
      </w:r>
      <w:r w:rsidRPr="00883A95">
        <w:rPr>
          <w:sz w:val="18"/>
          <w:szCs w:val="18"/>
        </w:rPr>
        <w:t>Broadly speaking</w:t>
      </w:r>
      <w:r>
        <w:rPr>
          <w:sz w:val="18"/>
          <w:szCs w:val="18"/>
        </w:rPr>
        <w:t>,</w:t>
      </w:r>
      <w:r w:rsidRPr="00883A95">
        <w:rPr>
          <w:sz w:val="18"/>
          <w:szCs w:val="18"/>
        </w:rPr>
        <w:t xml:space="preserve"> </w:t>
      </w:r>
      <w:r>
        <w:rPr>
          <w:sz w:val="18"/>
          <w:szCs w:val="18"/>
        </w:rPr>
        <w:t>a</w:t>
      </w:r>
      <w:r w:rsidRPr="00883A95">
        <w:rPr>
          <w:sz w:val="18"/>
          <w:szCs w:val="18"/>
        </w:rPr>
        <w:t xml:space="preserve">n independent </w:t>
      </w:r>
      <w:r>
        <w:rPr>
          <w:sz w:val="18"/>
          <w:szCs w:val="18"/>
        </w:rPr>
        <w:t xml:space="preserve">member (director) of a governing board is someone who does not have a material personal, financial, business or other interest in the </w:t>
      </w:r>
      <w:r w:rsidRPr="00D308D4">
        <w:rPr>
          <w:sz w:val="18"/>
          <w:szCs w:val="18"/>
        </w:rPr>
        <w:t xml:space="preserve">provider. See Appendix A </w:t>
      </w:r>
      <w:r>
        <w:rPr>
          <w:sz w:val="18"/>
          <w:szCs w:val="18"/>
        </w:rPr>
        <w:t xml:space="preserve">of this guidance note </w:t>
      </w:r>
      <w:r w:rsidRPr="00D308D4">
        <w:rPr>
          <w:sz w:val="18"/>
          <w:szCs w:val="18"/>
        </w:rPr>
        <w:t>for further details.</w:t>
      </w:r>
      <w:r>
        <w:rPr>
          <w:sz w:val="18"/>
          <w:szCs w:val="18"/>
        </w:rPr>
        <w:t xml:space="preserve"> </w:t>
      </w:r>
    </w:p>
    <w:p w14:paraId="1199C0C2" w14:textId="77777777" w:rsidR="00445935" w:rsidRPr="00601E9F" w:rsidRDefault="00445935" w:rsidP="00445935">
      <w:pPr>
        <w:pStyle w:val="FootnoteText"/>
        <w:rPr>
          <w:lang w:val="en-AU"/>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223DD" w14:textId="77777777"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A404B30" wp14:editId="0F917A75">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5DC082B"/>
    <w:multiLevelType w:val="hybridMultilevel"/>
    <w:tmpl w:val="02FCC404"/>
    <w:lvl w:ilvl="0" w:tplc="4BCEABDA">
      <w:start w:val="1"/>
      <w:numFmt w:val="bullet"/>
      <w:lvlText w:val=""/>
      <w:lvlJc w:val="left"/>
      <w:pPr>
        <w:ind w:left="787" w:hanging="360"/>
      </w:pPr>
      <w:rPr>
        <w:rFonts w:ascii="Symbol" w:hAnsi="Symbol" w:hint="default"/>
        <w:color w:val="00A398"/>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 w15:restartNumberingAfterBreak="0">
    <w:nsid w:val="07FF6DFA"/>
    <w:multiLevelType w:val="hybridMultilevel"/>
    <w:tmpl w:val="D5024350"/>
    <w:lvl w:ilvl="0" w:tplc="4BCEABDA">
      <w:start w:val="1"/>
      <w:numFmt w:val="bullet"/>
      <w:lvlText w:val=""/>
      <w:lvlJc w:val="left"/>
      <w:pPr>
        <w:ind w:left="787" w:hanging="360"/>
      </w:pPr>
      <w:rPr>
        <w:rFonts w:ascii="Symbol" w:hAnsi="Symbol" w:hint="default"/>
        <w:color w:val="00A398"/>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 w15:restartNumberingAfterBreak="0">
    <w:nsid w:val="162C391E"/>
    <w:multiLevelType w:val="hybridMultilevel"/>
    <w:tmpl w:val="D200E828"/>
    <w:lvl w:ilvl="0" w:tplc="4BCEABDA">
      <w:start w:val="1"/>
      <w:numFmt w:val="bullet"/>
      <w:lvlText w:val=""/>
      <w:lvlJc w:val="left"/>
      <w:pPr>
        <w:ind w:left="787" w:hanging="360"/>
      </w:pPr>
      <w:rPr>
        <w:rFonts w:ascii="Symbol" w:hAnsi="Symbol" w:hint="default"/>
        <w:color w:val="00A398"/>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15:restartNumberingAfterBreak="0">
    <w:nsid w:val="1E0F5D9C"/>
    <w:multiLevelType w:val="hybridMultilevel"/>
    <w:tmpl w:val="0CC42472"/>
    <w:lvl w:ilvl="0" w:tplc="4BCEABDA">
      <w:start w:val="1"/>
      <w:numFmt w:val="bullet"/>
      <w:lvlText w:val=""/>
      <w:lvlJc w:val="left"/>
      <w:pPr>
        <w:ind w:left="1147" w:hanging="360"/>
      </w:pPr>
      <w:rPr>
        <w:rFonts w:ascii="Symbol" w:hAnsi="Symbol" w:hint="default"/>
        <w:color w:val="00A398"/>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4"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3A3C39"/>
    <w:multiLevelType w:val="hybridMultilevel"/>
    <w:tmpl w:val="4C02577C"/>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E66356"/>
    <w:multiLevelType w:val="hybridMultilevel"/>
    <w:tmpl w:val="2D0A1DE4"/>
    <w:lvl w:ilvl="0" w:tplc="4BCEABDA">
      <w:start w:val="1"/>
      <w:numFmt w:val="bullet"/>
      <w:lvlText w:val=""/>
      <w:lvlJc w:val="left"/>
      <w:pPr>
        <w:ind w:left="787" w:hanging="360"/>
      </w:pPr>
      <w:rPr>
        <w:rFonts w:ascii="Symbol" w:hAnsi="Symbol" w:hint="default"/>
        <w:color w:val="00A398"/>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63783FD1"/>
    <w:multiLevelType w:val="hybridMultilevel"/>
    <w:tmpl w:val="0E981850"/>
    <w:lvl w:ilvl="0" w:tplc="4BCEABDA">
      <w:start w:val="1"/>
      <w:numFmt w:val="bullet"/>
      <w:lvlText w:val=""/>
      <w:lvlJc w:val="left"/>
      <w:pPr>
        <w:ind w:left="787" w:hanging="360"/>
      </w:pPr>
      <w:rPr>
        <w:rFonts w:ascii="Symbol" w:hAnsi="Symbol" w:hint="default"/>
        <w:color w:val="00A398"/>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6" w15:restartNumberingAfterBreak="0">
    <w:nsid w:val="6A6C7765"/>
    <w:multiLevelType w:val="hybridMultilevel"/>
    <w:tmpl w:val="53B0FBE4"/>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B444E2"/>
    <w:multiLevelType w:val="hybridMultilevel"/>
    <w:tmpl w:val="B5F4DB3A"/>
    <w:lvl w:ilvl="0" w:tplc="4BCEABDA">
      <w:start w:val="1"/>
      <w:numFmt w:val="bullet"/>
      <w:lvlText w:val=""/>
      <w:lvlJc w:val="left"/>
      <w:pPr>
        <w:ind w:left="787" w:hanging="360"/>
      </w:pPr>
      <w:rPr>
        <w:rFonts w:ascii="Symbol" w:hAnsi="Symbol" w:hint="default"/>
        <w:color w:val="00A398"/>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8"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33454188">
    <w:abstractNumId w:val="19"/>
  </w:num>
  <w:num w:numId="2" w16cid:durableId="1264846515">
    <w:abstractNumId w:val="18"/>
  </w:num>
  <w:num w:numId="3" w16cid:durableId="940185454">
    <w:abstractNumId w:val="7"/>
  </w:num>
  <w:num w:numId="4" w16cid:durableId="1415931836">
    <w:abstractNumId w:val="13"/>
  </w:num>
  <w:num w:numId="5" w16cid:durableId="601690636">
    <w:abstractNumId w:val="12"/>
  </w:num>
  <w:num w:numId="6" w16cid:durableId="904725403">
    <w:abstractNumId w:val="10"/>
  </w:num>
  <w:num w:numId="7" w16cid:durableId="396174827">
    <w:abstractNumId w:val="4"/>
  </w:num>
  <w:num w:numId="8" w16cid:durableId="1473475359">
    <w:abstractNumId w:val="5"/>
  </w:num>
  <w:num w:numId="9" w16cid:durableId="540748984">
    <w:abstractNumId w:val="6"/>
  </w:num>
  <w:num w:numId="10" w16cid:durableId="259988398">
    <w:abstractNumId w:val="11"/>
  </w:num>
  <w:num w:numId="11" w16cid:durableId="1829863224">
    <w:abstractNumId w:val="8"/>
  </w:num>
  <w:num w:numId="12" w16cid:durableId="885068834">
    <w:abstractNumId w:val="0"/>
  </w:num>
  <w:num w:numId="13" w16cid:durableId="2143377662">
    <w:abstractNumId w:val="1"/>
  </w:num>
  <w:num w:numId="14" w16cid:durableId="1769041411">
    <w:abstractNumId w:val="17"/>
  </w:num>
  <w:num w:numId="15" w16cid:durableId="1505432275">
    <w:abstractNumId w:val="2"/>
  </w:num>
  <w:num w:numId="16" w16cid:durableId="2079014468">
    <w:abstractNumId w:val="3"/>
  </w:num>
  <w:num w:numId="17" w16cid:durableId="1490825673">
    <w:abstractNumId w:val="9"/>
  </w:num>
  <w:num w:numId="18" w16cid:durableId="1824194811">
    <w:abstractNumId w:val="15"/>
  </w:num>
  <w:num w:numId="19" w16cid:durableId="2134708144">
    <w:abstractNumId w:val="16"/>
  </w:num>
  <w:num w:numId="20" w16cid:durableId="139581581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178E3"/>
    <w:rsid w:val="001164C3"/>
    <w:rsid w:val="001F39F5"/>
    <w:rsid w:val="00252EBB"/>
    <w:rsid w:val="00373195"/>
    <w:rsid w:val="00445935"/>
    <w:rsid w:val="004604EE"/>
    <w:rsid w:val="004B6D47"/>
    <w:rsid w:val="005B458E"/>
    <w:rsid w:val="006B73FA"/>
    <w:rsid w:val="006C328D"/>
    <w:rsid w:val="006D56F1"/>
    <w:rsid w:val="00706019"/>
    <w:rsid w:val="007B01C8"/>
    <w:rsid w:val="007B4C19"/>
    <w:rsid w:val="007D4CA1"/>
    <w:rsid w:val="007F78F7"/>
    <w:rsid w:val="00947D07"/>
    <w:rsid w:val="009B769E"/>
    <w:rsid w:val="009D3467"/>
    <w:rsid w:val="00A00761"/>
    <w:rsid w:val="00A5659B"/>
    <w:rsid w:val="00AB166A"/>
    <w:rsid w:val="00B77F75"/>
    <w:rsid w:val="00C52AD9"/>
    <w:rsid w:val="00C5342A"/>
    <w:rsid w:val="00CF276B"/>
    <w:rsid w:val="00DC0B79"/>
    <w:rsid w:val="00DF58D5"/>
    <w:rsid w:val="00E124F3"/>
    <w:rsid w:val="00E24F7B"/>
    <w:rsid w:val="00E76322"/>
    <w:rsid w:val="00EA7EF1"/>
    <w:rsid w:val="00F326BC"/>
    <w:rsid w:val="00FF254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F7B0F"/>
  <w15:docId w15:val="{2272DBCB-A197-4AF4-8DCB-ADB30F1C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445935"/>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445935"/>
    <w:rPr>
      <w:rFonts w:ascii="Arial" w:hAnsi="Arial"/>
      <w:color w:val="auto"/>
    </w:rPr>
  </w:style>
  <w:style w:type="paragraph" w:styleId="FootnoteText">
    <w:name w:val="footnote text"/>
    <w:basedOn w:val="Normal"/>
    <w:link w:val="FootnoteTextChar"/>
    <w:uiPriority w:val="99"/>
    <w:semiHidden/>
    <w:unhideWhenUsed/>
    <w:rsid w:val="00445935"/>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445935"/>
    <w:rPr>
      <w:color w:val="auto"/>
      <w:sz w:val="20"/>
      <w:szCs w:val="20"/>
      <w:lang w:val="en-GB"/>
    </w:rPr>
  </w:style>
  <w:style w:type="character" w:styleId="FootnoteReference">
    <w:name w:val="footnote reference"/>
    <w:basedOn w:val="DefaultParagraphFont"/>
    <w:uiPriority w:val="99"/>
    <w:semiHidden/>
    <w:unhideWhenUsed/>
    <w:rsid w:val="00445935"/>
    <w:rPr>
      <w:vertAlign w:val="superscript"/>
    </w:rPr>
  </w:style>
  <w:style w:type="character" w:styleId="Hyperlink">
    <w:name w:val="Hyperlink"/>
    <w:basedOn w:val="DefaultParagraphFont"/>
    <w:uiPriority w:val="99"/>
    <w:unhideWhenUsed/>
    <w:rsid w:val="00445935"/>
    <w:rPr>
      <w:color w:val="00847E" w:themeColor="hyperlink"/>
      <w:u w:val="single"/>
    </w:rPr>
  </w:style>
  <w:style w:type="paragraph" w:customStyle="1" w:styleId="Footnotes">
    <w:name w:val="Footnotes"/>
    <w:basedOn w:val="FootnoteText"/>
    <w:link w:val="FootnotesChar"/>
    <w:qFormat/>
    <w:rsid w:val="00445935"/>
    <w:pPr>
      <w:ind w:left="142" w:hanging="142"/>
    </w:pPr>
    <w:rPr>
      <w:sz w:val="18"/>
    </w:rPr>
  </w:style>
  <w:style w:type="character" w:customStyle="1" w:styleId="FootnotesChar">
    <w:name w:val="Footnotes Char"/>
    <w:basedOn w:val="FootnoteTextChar"/>
    <w:link w:val="Footnotes"/>
    <w:rsid w:val="00445935"/>
    <w:rPr>
      <w:color w:val="auto"/>
      <w:sz w:val="18"/>
      <w:szCs w:val="20"/>
      <w:lang w:val="en-GB"/>
    </w:rPr>
  </w:style>
  <w:style w:type="paragraph" w:customStyle="1" w:styleId="Normal1">
    <w:name w:val="Normal1"/>
    <w:basedOn w:val="Normal"/>
    <w:rsid w:val="00445935"/>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70601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tic1.squarespace.com/static/5b984f4e5ffd2046651aea73/t/5bceb2aeec212d6baa8c2e19/1540272816529/Voluntary-Code-of-Best-Practice-for-the-Governance-of-Australian-Universities-May-201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qsa.gov.au/explanations-hes-framework-term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qaa.ac.uk/assuring-standards-and-quality/the-quality-co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3.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A82E1C12-8773-409A-B29D-4FC4E6BF5F01}">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c7dac4e8-3feb-44f4-96ca-b86e7c14d0f6"/>
    <ds:schemaRef ds:uri="http://www.w3.org/XML/1998/namespace"/>
    <ds:schemaRef ds:uri="http://purl.org/dc/dcmitype/"/>
  </ds:schemaRefs>
</ds:datastoreItem>
</file>

<file path=customXml/itemProps3.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2498</Words>
  <Characters>14574</Characters>
  <Application>Microsoft Office Word</Application>
  <DocSecurity>0</DocSecurity>
  <Lines>252</Lines>
  <Paragraphs>92</Paragraphs>
  <ScaleCrop>false</ScaleCrop>
  <HeadingPairs>
    <vt:vector size="2" baseType="variant">
      <vt:variant>
        <vt:lpstr>Title</vt:lpstr>
      </vt:variant>
      <vt:variant>
        <vt:i4>1</vt:i4>
      </vt:variant>
    </vt:vector>
  </HeadingPairs>
  <TitlesOfParts>
    <vt:vector size="1" baseType="lpstr">
      <vt:lpstr>Guidance Note: Corporate Governance</vt:lpstr>
    </vt:vector>
  </TitlesOfParts>
  <Company>Tertiary Education Quality and Standards Agency</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Corporate Governance</dc:title>
  <dc:creator>May, Raphael</dc:creator>
  <cp:lastModifiedBy>Tom Hewitt-McManus</cp:lastModifiedBy>
  <cp:revision>8</cp:revision>
  <cp:lastPrinted>2020-07-15T05:28:00Z</cp:lastPrinted>
  <dcterms:created xsi:type="dcterms:W3CDTF">2019-08-26T03:04:00Z</dcterms:created>
  <dcterms:modified xsi:type="dcterms:W3CDTF">2024-11-07T07:51:00Z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