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C749" w14:textId="06BD298E" w:rsidR="00C4130B" w:rsidRDefault="00134A9F" w:rsidP="00C4130B">
      <w:pPr>
        <w:pStyle w:val="Subtitle"/>
        <w:spacing w:line="240" w:lineRule="auto"/>
        <w:rPr>
          <w:rFonts w:asciiTheme="majorHAnsi" w:eastAsiaTheme="majorEastAsia" w:hAnsiTheme="majorHAnsi" w:cstheme="majorBidi"/>
          <w:kern w:val="28"/>
          <w:sz w:val="60"/>
          <w:szCs w:val="56"/>
        </w:rPr>
      </w:pPr>
      <w:r w:rsidRPr="00134A9F">
        <w:rPr>
          <w:rFonts w:asciiTheme="majorHAnsi" w:eastAsiaTheme="majorEastAsia" w:hAnsiTheme="majorHAnsi" w:cstheme="majorBidi"/>
          <w:kern w:val="28"/>
          <w:sz w:val="60"/>
          <w:szCs w:val="56"/>
        </w:rPr>
        <w:t xml:space="preserve">TEQSA revised service charter  </w:t>
      </w:r>
    </w:p>
    <w:p w14:paraId="092066C0" w14:textId="77777777" w:rsidR="00134A9F" w:rsidRPr="00134A9F" w:rsidRDefault="00134A9F" w:rsidP="00134A9F"/>
    <w:p w14:paraId="556DC625" w14:textId="34D8CDC6" w:rsidR="00082740" w:rsidRPr="00082740" w:rsidRDefault="00AC3A82" w:rsidP="00C4130B">
      <w:pPr>
        <w:pStyle w:val="Subtitle"/>
        <w:spacing w:line="240" w:lineRule="auto"/>
      </w:pPr>
      <w:r>
        <w:t xml:space="preserve">TEQSA </w:t>
      </w:r>
      <w:r w:rsidR="00C4130B">
        <w:t>c</w:t>
      </w:r>
      <w:r>
        <w:t xml:space="preserve">onsultation </w:t>
      </w:r>
      <w:r w:rsidR="00C4130B">
        <w:t>p</w:t>
      </w:r>
      <w:r>
        <w:t xml:space="preserve">aper, </w:t>
      </w:r>
      <w:r w:rsidR="00957F4E">
        <w:t>April 2024</w:t>
      </w:r>
    </w:p>
    <w:p w14:paraId="4973C1F7" w14:textId="77777777" w:rsidR="000E6484" w:rsidRPr="008E6967" w:rsidRDefault="000E6484" w:rsidP="008E6967"/>
    <w:p w14:paraId="78E505BB" w14:textId="77777777" w:rsidR="000E6484" w:rsidRPr="008E6967" w:rsidRDefault="000E6484" w:rsidP="008E6967"/>
    <w:p w14:paraId="0519D172" w14:textId="77777777" w:rsidR="000E6484" w:rsidRPr="008E6967" w:rsidRDefault="000E6484" w:rsidP="008E6967"/>
    <w:p w14:paraId="4A84B54A" w14:textId="77777777" w:rsidR="000E6484" w:rsidRPr="008E6967" w:rsidRDefault="000E6484" w:rsidP="008E6967">
      <w:pPr>
        <w:sectPr w:rsidR="000E6484" w:rsidRPr="008E6967" w:rsidSect="000F75FF">
          <w:headerReference w:type="even" r:id="rId11"/>
          <w:headerReference w:type="default" r:id="rId12"/>
          <w:footerReference w:type="even" r:id="rId13"/>
          <w:footerReference w:type="default" r:id="rId14"/>
          <w:headerReference w:type="first" r:id="rId15"/>
          <w:footerReference w:type="first" r:id="rId16"/>
          <w:pgSz w:w="11906" w:h="16838" w:code="9"/>
          <w:pgMar w:top="3402" w:right="1247" w:bottom="4536" w:left="2325" w:header="567" w:footer="1208" w:gutter="0"/>
          <w:cols w:space="708"/>
          <w:titlePg/>
          <w:docGrid w:linePitch="360"/>
        </w:sectPr>
      </w:pPr>
    </w:p>
    <w:p w14:paraId="0FFB0330" w14:textId="77777777" w:rsidR="00AB04EC" w:rsidRDefault="00AB04EC" w:rsidP="00AB04EC">
      <w:r>
        <w:lastRenderedPageBreak/>
        <w:t xml:space="preserve">The Tertiary Education Quality and Standards Agency (TEQSA) is committed to continuous improvement and ensuring quality standards of service are delivered for the Australian public. </w:t>
      </w:r>
    </w:p>
    <w:p w14:paraId="2BB607AE" w14:textId="77777777" w:rsidR="00AB04EC" w:rsidRDefault="00AB04EC" w:rsidP="00AB04EC">
      <w:r>
        <w:t xml:space="preserve">Our service charter sets out how TEQSA expects it will provide its service to the Australian public. </w:t>
      </w:r>
    </w:p>
    <w:p w14:paraId="01515D61" w14:textId="77777777" w:rsidR="00AB04EC" w:rsidRDefault="00AB04EC" w:rsidP="00AB04EC">
      <w:pPr>
        <w:pStyle w:val="Heading2"/>
      </w:pPr>
      <w:r>
        <w:t xml:space="preserve">Why we’re seeking your feedback </w:t>
      </w:r>
    </w:p>
    <w:p w14:paraId="29780A70" w14:textId="77777777" w:rsidR="00AB04EC" w:rsidRDefault="00AB04EC" w:rsidP="00AB04EC">
      <w:r>
        <w:t>As part of our ongoing efforts to provide a quality service, we commenced the first phase of updating our service charter in August 2023 with a survey circulated to TEQSA stakeholders.</w:t>
      </w:r>
    </w:p>
    <w:p w14:paraId="7D352701" w14:textId="1E99347D" w:rsidR="00AB04EC" w:rsidRDefault="00AB04EC" w:rsidP="00AB04EC">
      <w:r>
        <w:t xml:space="preserve">This feedback has helped to inform the development of the second phase of our update – a revised service charter (see </w:t>
      </w:r>
      <w:r w:rsidR="00C81293">
        <w:t>below on page 4</w:t>
      </w:r>
      <w:r>
        <w:t xml:space="preserve">) that we are sharing for further consultation. </w:t>
      </w:r>
    </w:p>
    <w:p w14:paraId="3A075318" w14:textId="7B263F2B" w:rsidR="00C5019E" w:rsidRDefault="00AB04EC" w:rsidP="00AB04EC">
      <w:r>
        <w:t>TEQSA will consider all views when developing the updated version of the charter to be adopted later this year. Feedback gathered from this current consultation may also assist us in our continuous monitoring and review to enhance our service into the future.</w:t>
      </w:r>
    </w:p>
    <w:p w14:paraId="7F51F899" w14:textId="77777777" w:rsidR="00AB04EC" w:rsidRDefault="00AB04EC" w:rsidP="00AB04EC"/>
    <w:p w14:paraId="24FABEF9" w14:textId="3AD772CE" w:rsidR="00B76AF0" w:rsidRPr="00C81293" w:rsidRDefault="00B76AF0" w:rsidP="00C5019E">
      <w:pPr>
        <w:pBdr>
          <w:top w:val="single" w:sz="4" w:space="1" w:color="004E7D"/>
          <w:left w:val="single" w:sz="4" w:space="4" w:color="004E7D"/>
          <w:bottom w:val="single" w:sz="4" w:space="1" w:color="004E7D"/>
          <w:right w:val="single" w:sz="4" w:space="4" w:color="004E7D"/>
        </w:pBdr>
        <w:shd w:val="clear" w:color="auto" w:fill="004E7D"/>
        <w:rPr>
          <w:color w:val="FFFFFF" w:themeColor="background1"/>
        </w:rPr>
      </w:pPr>
      <w:r w:rsidRPr="00C81293">
        <w:rPr>
          <w:color w:val="FFFFFF" w:themeColor="background1"/>
        </w:rPr>
        <w:t>I</w:t>
      </w:r>
      <w:r w:rsidR="00C81293" w:rsidRPr="00C81293">
        <w:rPr>
          <w:color w:val="FFFFFF" w:themeColor="background1"/>
        </w:rPr>
        <w:t xml:space="preserve">n parallel to this consultation, TEQSA has opened a consultation process for a draft stakeholder engagement strategy. You can find out more about the stakeholder engagement strategy, and provide your feedback during the consultation period, at </w:t>
      </w:r>
      <w:hyperlink r:id="rId17" w:history="1">
        <w:r w:rsidR="00C81293" w:rsidRPr="00C81293">
          <w:rPr>
            <w:rStyle w:val="Hyperlink"/>
            <w:color w:val="FFFFFF" w:themeColor="background1"/>
          </w:rPr>
          <w:t>teqsa.gov.au/consultation</w:t>
        </w:r>
      </w:hyperlink>
      <w:r w:rsidR="00C81293" w:rsidRPr="00C81293">
        <w:rPr>
          <w:color w:val="FFFFFF" w:themeColor="background1"/>
        </w:rPr>
        <w:t>.</w:t>
      </w:r>
    </w:p>
    <w:p w14:paraId="11913B76" w14:textId="77777777" w:rsidR="00DB5CD3" w:rsidRDefault="00DB5CD3" w:rsidP="00FD4635">
      <w:pPr>
        <w:pStyle w:val="Heading2"/>
      </w:pPr>
    </w:p>
    <w:p w14:paraId="43393483" w14:textId="44808593" w:rsidR="00FD4635" w:rsidRDefault="00FD4635" w:rsidP="00FD4635">
      <w:pPr>
        <w:pStyle w:val="Heading2"/>
      </w:pPr>
      <w:r>
        <w:t>Feedback received during phase 1 consultation</w:t>
      </w:r>
    </w:p>
    <w:p w14:paraId="19EC7471" w14:textId="6B60ECCE" w:rsidR="00FD4635" w:rsidRDefault="00FD4635" w:rsidP="00FD4635">
      <w:r>
        <w:t>We received survey feedback from 46 stakeholders representing peak bodies, registered providers, professional and academic staff, students and an overseas higher education regulator/quality assurance agency.</w:t>
      </w:r>
    </w:p>
    <w:p w14:paraId="1F3BDC68" w14:textId="77777777" w:rsidR="00FD4635" w:rsidRDefault="00FD4635" w:rsidP="00FD4635">
      <w:r>
        <w:t xml:space="preserve">The feedback helped to inform proposed changes in the revised service charter, including: </w:t>
      </w:r>
    </w:p>
    <w:p w14:paraId="1CB7BE88" w14:textId="77777777" w:rsidR="00FD4635" w:rsidRDefault="00FD4635" w:rsidP="00FD4635">
      <w:pPr>
        <w:pStyle w:val="ListParagraph"/>
        <w:numPr>
          <w:ilvl w:val="0"/>
          <w:numId w:val="24"/>
        </w:numPr>
      </w:pPr>
      <w:r>
        <w:t>Relevant legislated deadlines, to provide transparency of TEQSA’s obligations</w:t>
      </w:r>
    </w:p>
    <w:p w14:paraId="7AD67F34" w14:textId="77777777" w:rsidR="00FD4635" w:rsidRDefault="00FD4635" w:rsidP="00FD4635">
      <w:pPr>
        <w:pStyle w:val="ListParagraph"/>
        <w:numPr>
          <w:ilvl w:val="0"/>
          <w:numId w:val="24"/>
        </w:numPr>
      </w:pPr>
      <w:r>
        <w:t>Clarification of expectations for different stakeholder groups</w:t>
      </w:r>
    </w:p>
    <w:p w14:paraId="64D46699" w14:textId="77777777" w:rsidR="00FD4635" w:rsidRDefault="00FD4635" w:rsidP="00FD4635">
      <w:pPr>
        <w:pStyle w:val="ListParagraph"/>
        <w:numPr>
          <w:ilvl w:val="0"/>
          <w:numId w:val="24"/>
        </w:numPr>
      </w:pPr>
      <w:r>
        <w:t>Greater details about reasonable response timeframes for various interactions</w:t>
      </w:r>
    </w:p>
    <w:p w14:paraId="78D75BA8" w14:textId="2126B402" w:rsidR="00FD4635" w:rsidRDefault="00FD4635" w:rsidP="00FD4635">
      <w:pPr>
        <w:pStyle w:val="ListParagraph"/>
        <w:numPr>
          <w:ilvl w:val="0"/>
          <w:numId w:val="24"/>
        </w:numPr>
      </w:pPr>
      <w:r>
        <w:t>More focus on communicating to stakeholders via established TEQSA channels</w:t>
      </w:r>
    </w:p>
    <w:p w14:paraId="78E434AA" w14:textId="626208B2" w:rsidR="00FD4635" w:rsidRDefault="00FD4635" w:rsidP="00FD4635">
      <w:r>
        <w:t xml:space="preserve">A summary of participants’ survey feedback is published at </w:t>
      </w:r>
      <w:hyperlink r:id="rId18" w:history="1">
        <w:r w:rsidRPr="00D971D6">
          <w:rPr>
            <w:rStyle w:val="Hyperlink"/>
          </w:rPr>
          <w:t>teqsa.gov.au/ServiceCharterReview</w:t>
        </w:r>
      </w:hyperlink>
      <w:r>
        <w:t>.</w:t>
      </w:r>
    </w:p>
    <w:p w14:paraId="4932FF7F" w14:textId="77777777" w:rsidR="00DB5CD3" w:rsidRDefault="00DB5CD3">
      <w:pPr>
        <w:rPr>
          <w:rFonts w:asciiTheme="majorHAnsi" w:eastAsiaTheme="majorEastAsia" w:hAnsiTheme="majorHAnsi" w:cstheme="majorBidi"/>
          <w:color w:val="004E7D"/>
          <w:sz w:val="44"/>
          <w:szCs w:val="26"/>
        </w:rPr>
      </w:pPr>
      <w:r>
        <w:br w:type="page"/>
      </w:r>
    </w:p>
    <w:p w14:paraId="65C548AE" w14:textId="75834D22" w:rsidR="00FD4635" w:rsidRDefault="00FD4635" w:rsidP="00D971D6">
      <w:pPr>
        <w:pStyle w:val="Heading2"/>
      </w:pPr>
      <w:r>
        <w:lastRenderedPageBreak/>
        <w:t>Feedback being sought during phase 2 consultation</w:t>
      </w:r>
    </w:p>
    <w:p w14:paraId="5C821CD7" w14:textId="2A52176C" w:rsidR="00FD4635" w:rsidRDefault="00FD4635" w:rsidP="00FD4635">
      <w:r>
        <w:t>In considering the revised service charter (</w:t>
      </w:r>
      <w:r w:rsidR="00C81293">
        <w:t>see below on page 4</w:t>
      </w:r>
      <w:r>
        <w:t xml:space="preserve">), we ask for your feedback on the following: </w:t>
      </w:r>
    </w:p>
    <w:p w14:paraId="24724095" w14:textId="77777777" w:rsidR="00D971D6" w:rsidRDefault="00FD4635" w:rsidP="00FD4635">
      <w:pPr>
        <w:pStyle w:val="ListParagraph"/>
        <w:numPr>
          <w:ilvl w:val="0"/>
          <w:numId w:val="25"/>
        </w:numPr>
      </w:pPr>
      <w:r>
        <w:t xml:space="preserve">Are expectations for all key stakeholder groups captured within the service charter? If not, which ones are missing and what kind of information would you like to see included for them in this service charter? </w:t>
      </w:r>
    </w:p>
    <w:p w14:paraId="08654894" w14:textId="77777777" w:rsidR="00D971D6" w:rsidRDefault="00FD4635" w:rsidP="00FD4635">
      <w:pPr>
        <w:pStyle w:val="ListParagraph"/>
        <w:numPr>
          <w:ilvl w:val="0"/>
          <w:numId w:val="25"/>
        </w:numPr>
      </w:pPr>
      <w:r>
        <w:t>What, in your opinion, would constitute a 'successful' service delivery from TEQSA? Is this reflected in the service charter? If not, how do you suggest it be reflected?</w:t>
      </w:r>
    </w:p>
    <w:p w14:paraId="181236A8" w14:textId="77777777" w:rsidR="00D971D6" w:rsidRDefault="00FD4635" w:rsidP="00FD4635">
      <w:pPr>
        <w:pStyle w:val="ListParagraph"/>
        <w:numPr>
          <w:ilvl w:val="0"/>
          <w:numId w:val="25"/>
        </w:numPr>
      </w:pPr>
      <w:r>
        <w:t>Are there specific needs or considerations related to diversity that should be addressed in the service charter that are currently not?</w:t>
      </w:r>
    </w:p>
    <w:p w14:paraId="0E7737B1" w14:textId="5B784789" w:rsidR="00FD4635" w:rsidRDefault="00FD4635" w:rsidP="00FD4635">
      <w:pPr>
        <w:pStyle w:val="ListParagraph"/>
        <w:numPr>
          <w:ilvl w:val="0"/>
          <w:numId w:val="25"/>
        </w:numPr>
      </w:pPr>
      <w:r>
        <w:t>Under the heading ‘</w:t>
      </w:r>
      <w:r w:rsidR="002C52B3" w:rsidRPr="002C52B3">
        <w:t>What we expect from you</w:t>
      </w:r>
      <w:r>
        <w:t xml:space="preserve">’, what other information, if any, should be included about stakeholder responsibilities when engaging with our service? </w:t>
      </w:r>
    </w:p>
    <w:p w14:paraId="75D659D5" w14:textId="0EA02C50" w:rsidR="00FD4635" w:rsidRDefault="00FD4635" w:rsidP="00D971D6">
      <w:pPr>
        <w:pStyle w:val="Heading2"/>
      </w:pPr>
      <w:r>
        <w:t>Consultation timelines</w:t>
      </w:r>
    </w:p>
    <w:p w14:paraId="1A8F14B3" w14:textId="7E19D48A" w:rsidR="00D971D6" w:rsidRPr="00D971D6" w:rsidRDefault="00D971D6" w:rsidP="00D971D6">
      <w:r>
        <w:rPr>
          <w:rFonts w:cstheme="minorHAnsi"/>
          <w:noProof/>
        </w:rPr>
        <w:drawing>
          <wp:inline distT="0" distB="0" distL="0" distR="0" wp14:anchorId="3FFBB735" wp14:editId="1E0413E4">
            <wp:extent cx="5486400" cy="1028700"/>
            <wp:effectExtent l="0" t="38100" r="0" b="19050"/>
            <wp:docPr id="196514625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375A690" w14:textId="77777777" w:rsidR="00746530" w:rsidRDefault="00746530" w:rsidP="00D971D6">
      <w:pPr>
        <w:rPr>
          <w:b/>
          <w:bCs/>
        </w:rPr>
      </w:pPr>
    </w:p>
    <w:p w14:paraId="7BE37408" w14:textId="27977D73" w:rsidR="00D971D6" w:rsidRPr="00746530" w:rsidRDefault="00D971D6" w:rsidP="00D971D6">
      <w:pPr>
        <w:rPr>
          <w:b/>
          <w:bCs/>
        </w:rPr>
      </w:pPr>
      <w:r w:rsidRPr="00D971D6">
        <w:rPr>
          <w:b/>
          <w:bCs/>
        </w:rPr>
        <w:t>Consultation on the revised service charter closes at 5pm (AEST) on Monday 20 May 2024.</w:t>
      </w:r>
    </w:p>
    <w:p w14:paraId="5FE75F20" w14:textId="3F005F3F" w:rsidR="00D971D6" w:rsidRDefault="00D971D6" w:rsidP="00D971D6">
      <w:r>
        <w:t xml:space="preserve">You can make a submission before the due date by emailing </w:t>
      </w:r>
      <w:hyperlink r:id="rId24" w:history="1">
        <w:r w:rsidRPr="00C84C97">
          <w:rPr>
            <w:rStyle w:val="Hyperlink"/>
          </w:rPr>
          <w:t>standards@teqsa.gov.au</w:t>
        </w:r>
      </w:hyperlink>
      <w:r>
        <w:t>.</w:t>
      </w:r>
    </w:p>
    <w:p w14:paraId="4A393128" w14:textId="77777777" w:rsidR="00D971D6" w:rsidRDefault="00D971D6" w:rsidP="00D971D6">
      <w:pPr>
        <w:pStyle w:val="Heading2"/>
      </w:pPr>
      <w:r>
        <w:t>After feedback closes</w:t>
      </w:r>
    </w:p>
    <w:p w14:paraId="0F1F9FE7" w14:textId="77777777" w:rsidR="00D971D6" w:rsidRDefault="00D971D6" w:rsidP="00D971D6">
      <w:r>
        <w:t>TEQSA will consider all submissions when feedback closes and develop a final service charter for adoption. We will also welcome ongoing sector feedback to inform our future service levels.</w:t>
      </w:r>
    </w:p>
    <w:p w14:paraId="4B4628A0" w14:textId="77777777" w:rsidR="00D971D6" w:rsidRDefault="00D971D6" w:rsidP="00D971D6">
      <w:r>
        <w:t>We will publish the updated service charter on our website and directly inform all stakeholders of this updated version through TEQSA’s communication channels including the monthly e-News and our social media platforms.</w:t>
      </w:r>
    </w:p>
    <w:p w14:paraId="5D915572" w14:textId="77777777" w:rsidR="00D971D6" w:rsidRDefault="00D971D6" w:rsidP="00D971D6">
      <w:pPr>
        <w:pStyle w:val="Heading2"/>
      </w:pPr>
      <w:r>
        <w:t>Questions?</w:t>
      </w:r>
    </w:p>
    <w:p w14:paraId="2B87CFA8" w14:textId="3BEC42CE" w:rsidR="00D971D6" w:rsidRDefault="00D971D6" w:rsidP="00D971D6">
      <w:r>
        <w:t xml:space="preserve">Our webpage </w:t>
      </w:r>
      <w:hyperlink r:id="rId25" w:history="1">
        <w:r w:rsidRPr="00D971D6">
          <w:rPr>
            <w:rStyle w:val="Hyperlink"/>
          </w:rPr>
          <w:t>teqsa.gov.au/ServiceCharterReview</w:t>
        </w:r>
      </w:hyperlink>
      <w:r>
        <w:t xml:space="preserve"> contains information about this consultation.</w:t>
      </w:r>
    </w:p>
    <w:p w14:paraId="2709A764" w14:textId="2386C5B1" w:rsidR="00A53B5A" w:rsidRDefault="00D971D6" w:rsidP="00D971D6">
      <w:r>
        <w:t xml:space="preserve">If you have any further questions, you can email us at </w:t>
      </w:r>
      <w:hyperlink r:id="rId26" w:history="1">
        <w:r w:rsidRPr="00C84C97">
          <w:rPr>
            <w:rStyle w:val="Hyperlink"/>
          </w:rPr>
          <w:t>standards@teqsa.gov.au</w:t>
        </w:r>
      </w:hyperlink>
      <w:r>
        <w:t>.</w:t>
      </w:r>
    </w:p>
    <w:p w14:paraId="263B3790" w14:textId="48CF5BD0" w:rsidR="00746530" w:rsidRDefault="00746530">
      <w:r>
        <w:br w:type="page"/>
      </w:r>
    </w:p>
    <w:p w14:paraId="2B0408F1" w14:textId="77777777" w:rsidR="00C81293" w:rsidRPr="00D95741" w:rsidRDefault="00C81293" w:rsidP="00C81293">
      <w:pPr>
        <w:spacing w:after="0" w:afterAutospacing="1"/>
        <w:textAlignment w:val="baseline"/>
        <w:rPr>
          <w:rFonts w:ascii="Segoe UI" w:eastAsia="Times New Roman" w:hAnsi="Segoe UI" w:cs="Segoe UI"/>
          <w:sz w:val="18"/>
          <w:szCs w:val="18"/>
          <w:lang w:eastAsia="en-AU"/>
        </w:rPr>
      </w:pPr>
      <w:r w:rsidRPr="72805B2C">
        <w:rPr>
          <w:rFonts w:ascii="Arial" w:eastAsia="Times New Roman" w:hAnsi="Arial" w:cs="Arial"/>
          <w:color w:val="004D7D"/>
          <w:sz w:val="84"/>
          <w:szCs w:val="84"/>
          <w:lang w:eastAsia="en-AU"/>
        </w:rPr>
        <w:lastRenderedPageBreak/>
        <w:t>TEQSA service charter </w:t>
      </w:r>
    </w:p>
    <w:p w14:paraId="54D7C23E" w14:textId="77777777" w:rsidR="00C81293" w:rsidRPr="00392037" w:rsidRDefault="00C81293" w:rsidP="00C81293">
      <w:pPr>
        <w:pStyle w:val="Heading3"/>
        <w:spacing w:before="240"/>
        <w:rPr>
          <w:rFonts w:eastAsia="Times New Roman"/>
          <w:lang w:eastAsia="en-AU"/>
        </w:rPr>
      </w:pPr>
      <w:r w:rsidRPr="294E492E">
        <w:rPr>
          <w:rFonts w:eastAsia="Times New Roman"/>
          <w:b/>
          <w:bCs/>
          <w:color w:val="ED7C31"/>
          <w:lang w:eastAsia="en-AU"/>
        </w:rPr>
        <w:t>CONSULTATION DRAFT – UPDATED 4 APRIL 2024</w:t>
      </w:r>
      <w:r>
        <w:br/>
      </w:r>
      <w:r w:rsidRPr="294E492E">
        <w:rPr>
          <w:rFonts w:eastAsia="Times New Roman"/>
          <w:lang w:eastAsia="en-AU"/>
        </w:rPr>
        <w:t>The Tertiary Education Quality and Standards Agency (TEQSA) is Australia’s independent, national regulatory and quality assurance agency for higher education.</w:t>
      </w:r>
    </w:p>
    <w:p w14:paraId="7443A34E" w14:textId="77777777" w:rsidR="00C81293" w:rsidRPr="00392037" w:rsidRDefault="00C81293" w:rsidP="00C81293">
      <w:pPr>
        <w:pStyle w:val="Heading3"/>
        <w:spacing w:before="240"/>
        <w:rPr>
          <w:rFonts w:eastAsia="Times New Roman"/>
          <w:color w:val="000000"/>
          <w:sz w:val="24"/>
          <w:lang w:eastAsia="en-AU"/>
        </w:rPr>
      </w:pPr>
      <w:r w:rsidRPr="294E492E">
        <w:rPr>
          <w:rFonts w:eastAsia="Times New Roman"/>
          <w:lang w:eastAsia="en-AU"/>
        </w:rPr>
        <w:t>Our work protects and enhances the integrity, quality and reputation of Australian higher education to provide public confidence in the excellence of Australia’s higher education sector.</w:t>
      </w:r>
    </w:p>
    <w:p w14:paraId="61DCDEEB" w14:textId="77777777" w:rsidR="00C81293" w:rsidRDefault="00C81293" w:rsidP="00C81293">
      <w:pPr>
        <w:pStyle w:val="Heading2"/>
        <w:rPr>
          <w:rFonts w:eastAsia="Times New Roman"/>
          <w:lang w:eastAsia="en-AU"/>
        </w:rPr>
      </w:pPr>
      <w:r>
        <w:rPr>
          <w:rFonts w:eastAsia="Times New Roman"/>
          <w:lang w:eastAsia="en-AU"/>
        </w:rPr>
        <w:t>Who is this service charter for?</w:t>
      </w:r>
    </w:p>
    <w:p w14:paraId="7160D9AD" w14:textId="77777777" w:rsidR="00C81293" w:rsidRDefault="00C81293" w:rsidP="00C81293">
      <w:pPr>
        <w:rPr>
          <w:lang w:eastAsia="en-AU"/>
        </w:rPr>
      </w:pPr>
      <w:r w:rsidRPr="00473845">
        <w:rPr>
          <w:lang w:eastAsia="en-AU"/>
        </w:rPr>
        <w:t xml:space="preserve">This service charter sets out our commitment to everyone who deals with us. </w:t>
      </w:r>
      <w:r>
        <w:rPr>
          <w:lang w:eastAsia="en-AU"/>
        </w:rPr>
        <w:br/>
      </w:r>
      <w:r w:rsidRPr="00473845">
        <w:rPr>
          <w:lang w:eastAsia="en-AU"/>
        </w:rPr>
        <w:t>This includes</w:t>
      </w:r>
      <w:r>
        <w:rPr>
          <w:lang w:eastAsia="en-AU"/>
        </w:rPr>
        <w:t>:</w:t>
      </w:r>
      <w:r w:rsidRPr="00473845">
        <w:rPr>
          <w:lang w:eastAsia="en-AU"/>
        </w:rPr>
        <w:t xml:space="preserve"> </w:t>
      </w:r>
    </w:p>
    <w:p w14:paraId="2B8BA8CD" w14:textId="77777777" w:rsidR="00C81293" w:rsidRDefault="00C81293" w:rsidP="00C81293">
      <w:pPr>
        <w:pStyle w:val="Bullet1"/>
        <w:ind w:left="284" w:hanging="284"/>
        <w:rPr>
          <w:lang w:eastAsia="en-AU"/>
        </w:rPr>
      </w:pPr>
      <w:r w:rsidRPr="750FA8F6">
        <w:rPr>
          <w:lang w:eastAsia="en-AU"/>
        </w:rPr>
        <w:t xml:space="preserve">higher education providers and their staff (current, prospective and past), </w:t>
      </w:r>
    </w:p>
    <w:p w14:paraId="27D78A21" w14:textId="77777777" w:rsidR="00C81293" w:rsidRDefault="00C81293" w:rsidP="00C81293">
      <w:pPr>
        <w:pStyle w:val="Bullet1"/>
        <w:ind w:left="284" w:hanging="284"/>
        <w:rPr>
          <w:lang w:eastAsia="en-AU"/>
        </w:rPr>
      </w:pPr>
      <w:r w:rsidRPr="750FA8F6">
        <w:rPr>
          <w:lang w:eastAsia="en-AU"/>
        </w:rPr>
        <w:t xml:space="preserve">students at Australian higher education providers (current, prospective and past), </w:t>
      </w:r>
    </w:p>
    <w:p w14:paraId="12DADCAC" w14:textId="77777777" w:rsidR="00C81293" w:rsidRDefault="00C81293" w:rsidP="00C81293">
      <w:pPr>
        <w:pStyle w:val="Bullet1"/>
        <w:ind w:left="284" w:hanging="284"/>
        <w:rPr>
          <w:lang w:eastAsia="en-AU"/>
        </w:rPr>
      </w:pPr>
      <w:r w:rsidRPr="750FA8F6">
        <w:rPr>
          <w:lang w:eastAsia="en-AU"/>
        </w:rPr>
        <w:t xml:space="preserve">members of the public, employers, Commonwealth and state/territory government agencies,  </w:t>
      </w:r>
    </w:p>
    <w:p w14:paraId="71506D4D" w14:textId="77777777" w:rsidR="00C81293" w:rsidRDefault="00C81293" w:rsidP="00C81293">
      <w:pPr>
        <w:pStyle w:val="Bullet1"/>
        <w:ind w:left="284" w:hanging="284"/>
        <w:rPr>
          <w:lang w:eastAsia="en-AU"/>
        </w:rPr>
      </w:pPr>
      <w:r w:rsidRPr="12F135DA">
        <w:rPr>
          <w:lang w:eastAsia="en-AU"/>
        </w:rPr>
        <w:t xml:space="preserve">peak bodies which advocate </w:t>
      </w:r>
      <w:r>
        <w:rPr>
          <w:lang w:eastAsia="en-AU"/>
        </w:rPr>
        <w:t>on behalf of</w:t>
      </w:r>
      <w:r w:rsidRPr="12F135DA">
        <w:rPr>
          <w:lang w:eastAsia="en-AU"/>
        </w:rPr>
        <w:t xml:space="preserve"> members</w:t>
      </w:r>
      <w:r>
        <w:rPr>
          <w:lang w:eastAsia="en-AU"/>
        </w:rPr>
        <w:t xml:space="preserve"> </w:t>
      </w:r>
      <w:r w:rsidRPr="12F135DA">
        <w:rPr>
          <w:lang w:eastAsia="en-AU"/>
        </w:rPr>
        <w:t>in the sector we regulate, and</w:t>
      </w:r>
    </w:p>
    <w:p w14:paraId="357E135E" w14:textId="77777777" w:rsidR="00C81293" w:rsidRDefault="00C81293" w:rsidP="00C81293">
      <w:pPr>
        <w:pStyle w:val="Bullet1"/>
        <w:ind w:left="284" w:hanging="284"/>
        <w:rPr>
          <w:lang w:eastAsia="en-AU"/>
        </w:rPr>
      </w:pPr>
      <w:r w:rsidRPr="46E22C0C">
        <w:rPr>
          <w:lang w:eastAsia="en-AU"/>
        </w:rPr>
        <w:t>professional accreditation bodies.</w:t>
      </w:r>
    </w:p>
    <w:p w14:paraId="40B9C24F" w14:textId="77777777" w:rsidR="00C81293" w:rsidRPr="00473845" w:rsidRDefault="00C81293" w:rsidP="00C81293">
      <w:pPr>
        <w:rPr>
          <w:lang w:eastAsia="en-AU"/>
        </w:rPr>
      </w:pPr>
      <w:r>
        <w:rPr>
          <w:lang w:eastAsia="en-AU"/>
        </w:rPr>
        <w:t xml:space="preserve">Please refer to our </w:t>
      </w:r>
      <w:hyperlink r:id="rId27" w:history="1">
        <w:r w:rsidRPr="00AB0129">
          <w:rPr>
            <w:rStyle w:val="Hyperlink"/>
            <w:lang w:eastAsia="en-AU"/>
          </w:rPr>
          <w:t xml:space="preserve">Stakeholder Engagement </w:t>
        </w:r>
        <w:r>
          <w:rPr>
            <w:rStyle w:val="Hyperlink"/>
            <w:lang w:eastAsia="en-AU"/>
          </w:rPr>
          <w:t>S</w:t>
        </w:r>
        <w:r w:rsidRPr="00AB0129">
          <w:rPr>
            <w:rStyle w:val="Hyperlink"/>
            <w:lang w:eastAsia="en-AU"/>
          </w:rPr>
          <w:t>trategy</w:t>
        </w:r>
      </w:hyperlink>
      <w:r>
        <w:rPr>
          <w:lang w:eastAsia="en-AU"/>
        </w:rPr>
        <w:t xml:space="preserve"> and </w:t>
      </w:r>
      <w:hyperlink r:id="rId28" w:history="1">
        <w:r w:rsidRPr="00AB0129">
          <w:rPr>
            <w:rStyle w:val="Hyperlink"/>
            <w:lang w:eastAsia="en-AU"/>
          </w:rPr>
          <w:t>Compliance and Enforcement Policy</w:t>
        </w:r>
      </w:hyperlink>
      <w:r>
        <w:rPr>
          <w:lang w:eastAsia="en-AU"/>
        </w:rPr>
        <w:t xml:space="preserve"> for information about our approach to stakeholder management and how we conduct our compliance activities.</w:t>
      </w:r>
    </w:p>
    <w:p w14:paraId="31601D47" w14:textId="77777777" w:rsidR="00C81293" w:rsidRPr="00473845" w:rsidRDefault="00C81293" w:rsidP="00C81293">
      <w:pPr>
        <w:pStyle w:val="Heading2"/>
        <w:rPr>
          <w:rFonts w:eastAsia="Times New Roman"/>
          <w:lang w:eastAsia="en-AU"/>
        </w:rPr>
      </w:pPr>
      <w:r w:rsidRPr="00473845">
        <w:rPr>
          <w:rFonts w:eastAsia="Times New Roman"/>
          <w:lang w:eastAsia="en-AU"/>
        </w:rPr>
        <w:t>What you can expect from us</w:t>
      </w:r>
    </w:p>
    <w:p w14:paraId="4F4FF8B2" w14:textId="77777777" w:rsidR="00C81293" w:rsidRPr="00473845" w:rsidRDefault="00C81293" w:rsidP="00C81293">
      <w:pPr>
        <w:rPr>
          <w:lang w:eastAsia="en-AU"/>
        </w:rPr>
      </w:pPr>
      <w:r w:rsidRPr="750FA8F6">
        <w:rPr>
          <w:lang w:eastAsia="en-AU"/>
        </w:rPr>
        <w:t>Whenever you contact us, you can expect that we will respond to you in a courteous, respectful and timely way. Our main aim is to help you with your enquiry. We will take all reasonable steps to provide you with a good quality service.</w:t>
      </w:r>
    </w:p>
    <w:p w14:paraId="4A049E94" w14:textId="77777777" w:rsidR="00C81293" w:rsidRPr="00D95741" w:rsidRDefault="00C81293" w:rsidP="00C81293">
      <w:pPr>
        <w:rPr>
          <w:rFonts w:ascii="Segoe UI" w:hAnsi="Segoe UI" w:cs="Segoe UI"/>
          <w:sz w:val="18"/>
          <w:szCs w:val="18"/>
          <w:lang w:eastAsia="en-AU"/>
        </w:rPr>
      </w:pPr>
      <w:r w:rsidRPr="00D95741">
        <w:rPr>
          <w:lang w:eastAsia="en-AU"/>
        </w:rPr>
        <w:t>When dealing with TEQSA, you can expect we will: </w:t>
      </w:r>
    </w:p>
    <w:p w14:paraId="2E446C68" w14:textId="77777777" w:rsidR="00C81293" w:rsidRPr="00D95741" w:rsidRDefault="00C81293" w:rsidP="00C81293">
      <w:pPr>
        <w:pStyle w:val="Bullet1"/>
        <w:ind w:left="284" w:hanging="284"/>
        <w:rPr>
          <w:lang w:eastAsia="en-AU"/>
        </w:rPr>
      </w:pPr>
      <w:r w:rsidRPr="750FA8F6">
        <w:rPr>
          <w:lang w:eastAsia="en-AU"/>
        </w:rPr>
        <w:t>identify the person or team you are engaging with,</w:t>
      </w:r>
    </w:p>
    <w:p w14:paraId="11FFA70E" w14:textId="77777777" w:rsidR="00C81293" w:rsidRPr="00D95741" w:rsidRDefault="00C81293" w:rsidP="00C81293">
      <w:pPr>
        <w:pStyle w:val="Bullet1"/>
        <w:ind w:left="284" w:hanging="284"/>
        <w:rPr>
          <w:lang w:eastAsia="en-AU"/>
        </w:rPr>
      </w:pPr>
      <w:r w:rsidRPr="46E22C0C">
        <w:rPr>
          <w:lang w:eastAsia="en-AU"/>
        </w:rPr>
        <w:t>offer prompt, honest and helpful service, </w:t>
      </w:r>
    </w:p>
    <w:p w14:paraId="17B86C53" w14:textId="77777777" w:rsidR="00C81293" w:rsidRPr="00D95741" w:rsidRDefault="00C81293" w:rsidP="00C81293">
      <w:pPr>
        <w:pStyle w:val="Bullet1"/>
        <w:ind w:left="284" w:hanging="284"/>
        <w:rPr>
          <w:lang w:eastAsia="en-AU"/>
        </w:rPr>
      </w:pPr>
      <w:r w:rsidRPr="46E22C0C">
        <w:rPr>
          <w:lang w:eastAsia="en-AU"/>
        </w:rPr>
        <w:t>do the best we can to help resolve your issue, or refer you to an organisation that can, </w:t>
      </w:r>
    </w:p>
    <w:p w14:paraId="19207463" w14:textId="77777777" w:rsidR="00C81293" w:rsidRPr="00D95741" w:rsidRDefault="00C81293" w:rsidP="00C81293">
      <w:pPr>
        <w:pStyle w:val="Bullet1"/>
        <w:ind w:left="284" w:hanging="284"/>
        <w:rPr>
          <w:lang w:eastAsia="en-AU"/>
        </w:rPr>
      </w:pPr>
      <w:r w:rsidRPr="46E22C0C">
        <w:rPr>
          <w:lang w:eastAsia="en-AU"/>
        </w:rPr>
        <w:t>provide you with an inclusive and accessible service, recognising different people will have different needs when engaging with us, </w:t>
      </w:r>
    </w:p>
    <w:p w14:paraId="0D1DB157" w14:textId="77777777" w:rsidR="00C81293" w:rsidRPr="00D95741" w:rsidRDefault="00C81293" w:rsidP="00C81293">
      <w:pPr>
        <w:pStyle w:val="Bullet1"/>
        <w:ind w:left="284" w:hanging="284"/>
        <w:rPr>
          <w:lang w:eastAsia="en-AU"/>
        </w:rPr>
      </w:pPr>
      <w:r w:rsidRPr="46E22C0C">
        <w:rPr>
          <w:lang w:eastAsia="en-AU"/>
        </w:rPr>
        <w:t>issue correspondence with contact details, </w:t>
      </w:r>
    </w:p>
    <w:p w14:paraId="472912FF" w14:textId="77777777" w:rsidR="00C81293" w:rsidRPr="003F60FB" w:rsidRDefault="00C81293" w:rsidP="00C81293">
      <w:pPr>
        <w:pStyle w:val="Bullet1"/>
        <w:ind w:left="284" w:hanging="284"/>
        <w:rPr>
          <w:lang w:eastAsia="en-AU"/>
        </w:rPr>
      </w:pPr>
      <w:r w:rsidRPr="46E22C0C">
        <w:rPr>
          <w:lang w:eastAsia="en-AU"/>
        </w:rPr>
        <w:lastRenderedPageBreak/>
        <w:t>as appropriate, provide relevant information, rather than advice, to ensure our impartiality, </w:t>
      </w:r>
    </w:p>
    <w:p w14:paraId="0DCAA9EA" w14:textId="77777777" w:rsidR="00C81293" w:rsidRPr="003F60FB" w:rsidRDefault="00C81293" w:rsidP="00C81293">
      <w:pPr>
        <w:pStyle w:val="Bullet1"/>
        <w:ind w:left="284" w:hanging="284"/>
        <w:rPr>
          <w:lang w:eastAsia="en-AU"/>
        </w:rPr>
      </w:pPr>
      <w:r w:rsidRPr="750FA8F6">
        <w:rPr>
          <w:lang w:eastAsia="en-AU"/>
        </w:rPr>
        <w:t>we will explain, when we make a request for information or make a regulatory decision, why we have asked for the information or made the decision,</w:t>
      </w:r>
    </w:p>
    <w:p w14:paraId="32E5315A" w14:textId="77777777" w:rsidR="00C81293" w:rsidRPr="00D95741" w:rsidRDefault="00C81293" w:rsidP="00C81293">
      <w:pPr>
        <w:pStyle w:val="Bullet1"/>
        <w:ind w:left="284" w:hanging="284"/>
        <w:rPr>
          <w:lang w:eastAsia="en-AU"/>
        </w:rPr>
      </w:pPr>
      <w:r w:rsidRPr="750FA8F6">
        <w:rPr>
          <w:lang w:eastAsia="en-AU"/>
        </w:rPr>
        <w:t>understand that if you are raising a concern or complaint with TEQSA, that the concern or complaint may personally impact on you,</w:t>
      </w:r>
    </w:p>
    <w:p w14:paraId="1DA31E24" w14:textId="77777777" w:rsidR="00C81293" w:rsidRPr="003F60FB" w:rsidRDefault="00C81293" w:rsidP="00C81293">
      <w:pPr>
        <w:pStyle w:val="Bullet1"/>
        <w:ind w:left="284" w:hanging="284"/>
        <w:rPr>
          <w:lang w:eastAsia="en-AU"/>
        </w:rPr>
      </w:pPr>
      <w:r w:rsidRPr="46E22C0C">
        <w:rPr>
          <w:lang w:eastAsia="en-AU"/>
        </w:rPr>
        <w:t xml:space="preserve">meet our legal obligations to protect your personal information (for information about our approach to privacy, see our </w:t>
      </w:r>
      <w:hyperlink r:id="rId29">
        <w:r w:rsidRPr="46E22C0C">
          <w:rPr>
            <w:color w:val="004E7D"/>
            <w:u w:val="single"/>
            <w:lang w:eastAsia="en-AU"/>
          </w:rPr>
          <w:t>Privacy page</w:t>
        </w:r>
      </w:hyperlink>
      <w:r w:rsidRPr="46E22C0C">
        <w:rPr>
          <w:lang w:eastAsia="en-AU"/>
        </w:rPr>
        <w:t>),</w:t>
      </w:r>
    </w:p>
    <w:p w14:paraId="15C819C1" w14:textId="77777777" w:rsidR="00C81293" w:rsidRPr="00B640F1" w:rsidRDefault="00C81293" w:rsidP="00C81293">
      <w:pPr>
        <w:pStyle w:val="Bullet1"/>
        <w:ind w:left="284" w:hanging="284"/>
        <w:rPr>
          <w:lang w:eastAsia="en-AU"/>
        </w:rPr>
      </w:pPr>
      <w:r w:rsidRPr="46E22C0C">
        <w:rPr>
          <w:lang w:eastAsia="en-AU"/>
        </w:rPr>
        <w:t>apologise to you if we fall short of the standards in this service charter. </w:t>
      </w:r>
    </w:p>
    <w:p w14:paraId="3890D050" w14:textId="77777777" w:rsidR="00C81293" w:rsidRDefault="00C81293" w:rsidP="00C81293">
      <w:pPr>
        <w:rPr>
          <w:lang w:eastAsia="en-AU"/>
        </w:rPr>
      </w:pPr>
      <w:r w:rsidRPr="750FA8F6">
        <w:rPr>
          <w:lang w:eastAsia="en-AU"/>
        </w:rPr>
        <w:t xml:space="preserve">We expect your interaction with our staff will provide you with a greater understanding of TEQSA’s work and approaches to regulation and quality assurance. We outline more detail about registered and prospective providers, students and people lodging a complaint or concern about a registered provider in </w:t>
      </w:r>
      <w:r>
        <w:rPr>
          <w:lang w:eastAsia="en-AU"/>
        </w:rPr>
        <w:t>A</w:t>
      </w:r>
      <w:r w:rsidRPr="750FA8F6">
        <w:rPr>
          <w:lang w:eastAsia="en-AU"/>
        </w:rPr>
        <w:t>ppendix</w:t>
      </w:r>
      <w:r>
        <w:rPr>
          <w:lang w:eastAsia="en-AU"/>
        </w:rPr>
        <w:t xml:space="preserve"> A</w:t>
      </w:r>
      <w:r w:rsidRPr="750FA8F6">
        <w:rPr>
          <w:lang w:eastAsia="en-AU"/>
        </w:rPr>
        <w:t xml:space="preserve"> on </w:t>
      </w:r>
      <w:r w:rsidRPr="008716A9">
        <w:rPr>
          <w:lang w:eastAsia="en-AU"/>
        </w:rPr>
        <w:t xml:space="preserve">page </w:t>
      </w:r>
      <w:r>
        <w:rPr>
          <w:lang w:eastAsia="en-AU"/>
        </w:rPr>
        <w:t>6</w:t>
      </w:r>
      <w:r w:rsidRPr="008716A9">
        <w:rPr>
          <w:lang w:eastAsia="en-AU"/>
        </w:rPr>
        <w:t>.</w:t>
      </w:r>
    </w:p>
    <w:p w14:paraId="269466AE" w14:textId="77777777" w:rsidR="00C81293" w:rsidRPr="00473845" w:rsidRDefault="00C81293" w:rsidP="00C81293">
      <w:pPr>
        <w:pStyle w:val="Heading2"/>
        <w:rPr>
          <w:rFonts w:eastAsia="Times New Roman"/>
          <w:lang w:eastAsia="en-AU"/>
        </w:rPr>
      </w:pPr>
      <w:r w:rsidRPr="00473845">
        <w:rPr>
          <w:rFonts w:eastAsia="Times New Roman"/>
          <w:lang w:eastAsia="en-AU"/>
        </w:rPr>
        <w:t>What we expect from you</w:t>
      </w:r>
    </w:p>
    <w:p w14:paraId="2633DDFB" w14:textId="77777777" w:rsidR="00C81293" w:rsidRPr="00D95741" w:rsidRDefault="00C81293" w:rsidP="00C81293">
      <w:pPr>
        <w:rPr>
          <w:rFonts w:ascii="Segoe UI" w:hAnsi="Segoe UI" w:cs="Segoe UI"/>
          <w:sz w:val="18"/>
          <w:szCs w:val="18"/>
          <w:lang w:eastAsia="en-AU"/>
        </w:rPr>
      </w:pPr>
      <w:r w:rsidRPr="750FA8F6">
        <w:rPr>
          <w:lang w:eastAsia="en-AU"/>
        </w:rPr>
        <w:t>To help us provide you with a high level of service we ask that you: </w:t>
      </w:r>
    </w:p>
    <w:p w14:paraId="2ED7A593" w14:textId="77777777" w:rsidR="00C81293" w:rsidRPr="00D95741" w:rsidRDefault="00C81293" w:rsidP="00C81293">
      <w:pPr>
        <w:pStyle w:val="Bullet1"/>
        <w:ind w:left="284" w:hanging="284"/>
        <w:rPr>
          <w:lang w:eastAsia="en-AU"/>
        </w:rPr>
      </w:pPr>
      <w:r w:rsidRPr="46E22C0C">
        <w:rPr>
          <w:lang w:eastAsia="en-AU"/>
        </w:rPr>
        <w:t>treat our staff with courtesy and respect, </w:t>
      </w:r>
    </w:p>
    <w:p w14:paraId="21F7C581" w14:textId="77777777" w:rsidR="00C81293" w:rsidRPr="00473845" w:rsidRDefault="00C81293" w:rsidP="00C81293">
      <w:pPr>
        <w:pStyle w:val="Bullet1"/>
        <w:ind w:left="284" w:hanging="284"/>
        <w:rPr>
          <w:lang w:eastAsia="en-AU"/>
        </w:rPr>
      </w:pPr>
      <w:r w:rsidRPr="46E22C0C">
        <w:rPr>
          <w:lang w:eastAsia="en-AU"/>
        </w:rPr>
        <w:t>allow us sufficient time to respond to your requests,</w:t>
      </w:r>
    </w:p>
    <w:p w14:paraId="3960BC2E" w14:textId="77777777" w:rsidR="00C81293" w:rsidRPr="00D95741" w:rsidRDefault="00C81293" w:rsidP="00C81293">
      <w:pPr>
        <w:pStyle w:val="Bullet1"/>
        <w:ind w:left="284" w:hanging="284"/>
        <w:rPr>
          <w:lang w:eastAsia="en-AU"/>
        </w:rPr>
      </w:pPr>
      <w:r w:rsidRPr="750FA8F6">
        <w:rPr>
          <w:lang w:eastAsia="en-AU"/>
        </w:rPr>
        <w:t>give us accurate and complete information, </w:t>
      </w:r>
    </w:p>
    <w:p w14:paraId="4F201424" w14:textId="77777777" w:rsidR="00C81293" w:rsidRPr="0056263E" w:rsidRDefault="00C81293" w:rsidP="00C81293">
      <w:pPr>
        <w:pStyle w:val="Bullet1"/>
        <w:ind w:left="284" w:hanging="284"/>
        <w:rPr>
          <w:lang w:eastAsia="en-AU"/>
        </w:rPr>
      </w:pPr>
      <w:r w:rsidRPr="46E22C0C">
        <w:rPr>
          <w:lang w:eastAsia="en-AU"/>
        </w:rPr>
        <w:t>contact us if you believe we have made an error or acted inappropriately, and you wish to make a complaint. </w:t>
      </w:r>
    </w:p>
    <w:p w14:paraId="1CB18458" w14:textId="77777777" w:rsidR="00C81293" w:rsidRDefault="00C81293" w:rsidP="00C81293">
      <w:pPr>
        <w:rPr>
          <w:lang w:eastAsia="en-AU"/>
        </w:rPr>
      </w:pPr>
      <w:r w:rsidRPr="750FA8F6">
        <w:rPr>
          <w:lang w:eastAsia="en-AU"/>
        </w:rPr>
        <w:t>In addition to the above, when contacting TEQSA as a registered provider we ask that you:</w:t>
      </w:r>
    </w:p>
    <w:p w14:paraId="612EE096" w14:textId="77777777" w:rsidR="00C81293" w:rsidRPr="003F60FB" w:rsidRDefault="00C81293" w:rsidP="00C81293">
      <w:pPr>
        <w:pStyle w:val="Bullet1"/>
        <w:ind w:left="284" w:hanging="284"/>
        <w:rPr>
          <w:lang w:eastAsia="en-AU"/>
        </w:rPr>
      </w:pPr>
      <w:r w:rsidRPr="46E22C0C">
        <w:rPr>
          <w:lang w:eastAsia="en-AU"/>
        </w:rPr>
        <w:t>fulfil your regulatory, financial and other obligations to TEQSA within stipulated timeframes,</w:t>
      </w:r>
    </w:p>
    <w:p w14:paraId="5E6AB24E" w14:textId="77777777" w:rsidR="00C81293" w:rsidRPr="004B02D3" w:rsidRDefault="00C81293" w:rsidP="00C81293">
      <w:pPr>
        <w:pStyle w:val="Bullet1"/>
        <w:ind w:left="284" w:hanging="284"/>
        <w:rPr>
          <w:lang w:eastAsia="en-AU"/>
        </w:rPr>
      </w:pPr>
      <w:r w:rsidRPr="4D33F2B1">
        <w:rPr>
          <w:lang w:eastAsia="en-AU"/>
        </w:rPr>
        <w:t>make good quality applications to TEQSA and are responsive to our requests for information. Poor quality applications or a lack of responsiveness impacts the time it takes to complete our regulatory activities,</w:t>
      </w:r>
    </w:p>
    <w:p w14:paraId="3E47560B" w14:textId="77777777" w:rsidR="00C81293" w:rsidRPr="003F60FB" w:rsidRDefault="00C81293" w:rsidP="00C81293">
      <w:pPr>
        <w:pStyle w:val="Bullet1"/>
        <w:ind w:left="284" w:hanging="284"/>
        <w:rPr>
          <w:lang w:eastAsia="en-AU"/>
        </w:rPr>
      </w:pPr>
      <w:r w:rsidRPr="4D33F2B1">
        <w:rPr>
          <w:lang w:eastAsia="en-AU"/>
        </w:rPr>
        <w:t>lodge applications to remove a condition of registration or accreditation by 30 September each year</w:t>
      </w:r>
      <w:r w:rsidRPr="62EB7687">
        <w:rPr>
          <w:lang w:eastAsia="en-AU"/>
        </w:rPr>
        <w:t>. This is</w:t>
      </w:r>
      <w:r w:rsidRPr="4D33F2B1">
        <w:rPr>
          <w:lang w:eastAsia="en-AU"/>
        </w:rPr>
        <w:t xml:space="preserve"> to enable TEQSA enough time to assess </w:t>
      </w:r>
      <w:r w:rsidRPr="62EB7687">
        <w:rPr>
          <w:lang w:eastAsia="en-AU"/>
        </w:rPr>
        <w:t>your</w:t>
      </w:r>
      <w:r w:rsidRPr="4D33F2B1">
        <w:rPr>
          <w:lang w:eastAsia="en-AU"/>
        </w:rPr>
        <w:t xml:space="preserve"> request before the condition carries over to the following year</w:t>
      </w:r>
      <w:r w:rsidRPr="62EB7687">
        <w:rPr>
          <w:lang w:eastAsia="en-AU"/>
        </w:rPr>
        <w:t xml:space="preserve"> and potentially impacts your annual provider charge</w:t>
      </w:r>
    </w:p>
    <w:p w14:paraId="51BCB990" w14:textId="77777777" w:rsidR="00C81293" w:rsidRPr="00D95741" w:rsidRDefault="00C81293" w:rsidP="00C81293">
      <w:pPr>
        <w:pStyle w:val="Bullet1"/>
        <w:ind w:left="284" w:hanging="284"/>
        <w:rPr>
          <w:lang w:eastAsia="en-AU"/>
        </w:rPr>
      </w:pPr>
      <w:r w:rsidRPr="46E22C0C">
        <w:rPr>
          <w:lang w:eastAsia="en-AU"/>
        </w:rPr>
        <w:t>have your documentation or reference numbers ready when you contact us. </w:t>
      </w:r>
    </w:p>
    <w:p w14:paraId="5027B3C9" w14:textId="77777777" w:rsidR="00C81293" w:rsidRPr="00D95741" w:rsidRDefault="00C81293" w:rsidP="00C81293">
      <w:pPr>
        <w:pStyle w:val="Heading2"/>
        <w:rPr>
          <w:rFonts w:ascii="Segoe UI" w:eastAsia="Times New Roman" w:hAnsi="Segoe UI" w:cs="Segoe UI"/>
          <w:color w:val="000000"/>
          <w:sz w:val="18"/>
          <w:szCs w:val="18"/>
          <w:lang w:eastAsia="en-AU"/>
        </w:rPr>
      </w:pPr>
      <w:r>
        <w:rPr>
          <w:rFonts w:eastAsia="Times New Roman"/>
          <w:lang w:eastAsia="en-AU"/>
        </w:rPr>
        <w:t>Our v</w:t>
      </w:r>
      <w:r w:rsidRPr="00D95741">
        <w:rPr>
          <w:rFonts w:eastAsia="Times New Roman"/>
          <w:lang w:eastAsia="en-AU"/>
        </w:rPr>
        <w:t>alues</w:t>
      </w:r>
      <w:r>
        <w:rPr>
          <w:rFonts w:eastAsia="Times New Roman"/>
          <w:lang w:eastAsia="en-AU"/>
        </w:rPr>
        <w:t xml:space="preserve"> and behaviours</w:t>
      </w:r>
    </w:p>
    <w:p w14:paraId="1E290422" w14:textId="77777777" w:rsidR="00C81293" w:rsidRPr="00D95741" w:rsidRDefault="00C81293" w:rsidP="00C81293">
      <w:pPr>
        <w:rPr>
          <w:lang w:eastAsia="en-AU"/>
        </w:rPr>
      </w:pPr>
      <w:r w:rsidRPr="00D95741">
        <w:rPr>
          <w:lang w:eastAsia="en-AU"/>
        </w:rPr>
        <w:t>Our values describe who we are as a regulator, guiding how we conduct ourselves and work with our stakeholders to enact our regulatory authority. </w:t>
      </w:r>
    </w:p>
    <w:p w14:paraId="26904539" w14:textId="77777777" w:rsidR="00C81293" w:rsidRPr="00D95741" w:rsidRDefault="00C81293" w:rsidP="00C81293">
      <w:pPr>
        <w:rPr>
          <w:lang w:eastAsia="en-AU"/>
        </w:rPr>
      </w:pPr>
      <w:r w:rsidRPr="00D95741">
        <w:rPr>
          <w:lang w:eastAsia="en-AU"/>
        </w:rPr>
        <w:t>Along with other guiding statements such as our regulatory principles, policies and guidance notes, our values enable our stakeholders to understand what they can expect when interacting with us. </w:t>
      </w:r>
    </w:p>
    <w:p w14:paraId="07BC7061" w14:textId="77777777" w:rsidR="00C81293" w:rsidRPr="00D95741" w:rsidRDefault="00C81293" w:rsidP="00C81293">
      <w:pPr>
        <w:rPr>
          <w:lang w:eastAsia="en-AU"/>
        </w:rPr>
      </w:pPr>
      <w:r w:rsidRPr="00D95741">
        <w:rPr>
          <w:lang w:eastAsia="en-AU"/>
        </w:rPr>
        <w:t xml:space="preserve">Our values reflect the </w:t>
      </w:r>
      <w:hyperlink r:id="rId30" w:tgtFrame="_blank" w:history="1">
        <w:r w:rsidRPr="00D95741">
          <w:rPr>
            <w:color w:val="004E7D"/>
            <w:u w:val="single"/>
            <w:lang w:eastAsia="en-AU"/>
          </w:rPr>
          <w:t>Australian Public Sector (APS) Values and Code of Conduct</w:t>
        </w:r>
      </w:hyperlink>
      <w:r w:rsidRPr="00D95741">
        <w:rPr>
          <w:lang w:eastAsia="en-AU"/>
        </w:rPr>
        <w:t xml:space="preserve"> and, in practice, create a positive culture in which we can perform efficiently and effectively as the </w:t>
      </w:r>
      <w:r w:rsidRPr="00D95741">
        <w:rPr>
          <w:lang w:eastAsia="en-AU"/>
        </w:rPr>
        <w:lastRenderedPageBreak/>
        <w:t>national higher education regulatory and quality assurance agency for the benefit of all Australians. </w:t>
      </w:r>
    </w:p>
    <w:p w14:paraId="632FF674" w14:textId="77777777" w:rsidR="00C81293" w:rsidRDefault="00C81293" w:rsidP="00C81293">
      <w:pPr>
        <w:rPr>
          <w:lang w:eastAsia="en-AU"/>
        </w:rPr>
      </w:pPr>
      <w:r w:rsidRPr="750FA8F6">
        <w:rPr>
          <w:lang w:eastAsia="en-AU"/>
        </w:rPr>
        <w:t>These values provide a foundation for best practice and support us in striving to continuously improve, to ensure we are well-positioned to serve students, providers and the wider community. </w:t>
      </w:r>
    </w:p>
    <w:p w14:paraId="420EA957" w14:textId="77777777" w:rsidR="00C81293" w:rsidRPr="00D95741" w:rsidRDefault="00C81293" w:rsidP="00C81293">
      <w:pPr>
        <w:rPr>
          <w:lang w:eastAsia="en-AU"/>
        </w:rPr>
      </w:pPr>
      <w:r>
        <w:rPr>
          <w:lang w:eastAsia="en-AU"/>
        </w:rPr>
        <w:t>Our TEQSA values are:</w:t>
      </w:r>
    </w:p>
    <w:p w14:paraId="47834958" w14:textId="77777777" w:rsidR="00C81293" w:rsidRDefault="00C81293" w:rsidP="00C81293">
      <w:pPr>
        <w:pStyle w:val="Bullet1"/>
        <w:ind w:left="284" w:hanging="284"/>
        <w:rPr>
          <w:lang w:eastAsia="en-AU"/>
        </w:rPr>
      </w:pPr>
      <w:r w:rsidRPr="46E22C0C">
        <w:rPr>
          <w:b/>
          <w:bCs/>
          <w:lang w:eastAsia="en-AU"/>
        </w:rPr>
        <w:t>Trust:</w:t>
      </w:r>
      <w:r w:rsidRPr="46E22C0C">
        <w:rPr>
          <w:lang w:eastAsia="en-AU"/>
        </w:rPr>
        <w:t xml:space="preserve"> We have confidence in each other to do our best. We encourage open and honest conversations that focus on the issue not the person. We promote a supportive and safe workplace environment. </w:t>
      </w:r>
    </w:p>
    <w:p w14:paraId="12A18D89" w14:textId="77777777" w:rsidR="00C81293" w:rsidRPr="00D95741" w:rsidRDefault="00C81293" w:rsidP="00C81293">
      <w:pPr>
        <w:pStyle w:val="Bullet1"/>
        <w:ind w:left="284" w:hanging="284"/>
        <w:rPr>
          <w:lang w:eastAsia="en-AU"/>
        </w:rPr>
      </w:pPr>
      <w:r>
        <w:rPr>
          <w:noProof/>
          <w:color w:val="2B579A"/>
          <w:shd w:val="clear" w:color="auto" w:fill="E6E6E6"/>
        </w:rPr>
        <w:drawing>
          <wp:anchor distT="0" distB="0" distL="114300" distR="114300" simplePos="0" relativeHeight="251659264" behindDoc="0" locked="0" layoutInCell="1" allowOverlap="1" wp14:anchorId="461287A4" wp14:editId="4FEA7ABD">
            <wp:simplePos x="0" y="0"/>
            <wp:positionH relativeFrom="margin">
              <wp:align>right</wp:align>
            </wp:positionH>
            <wp:positionV relativeFrom="paragraph">
              <wp:posOffset>0</wp:posOffset>
            </wp:positionV>
            <wp:extent cx="1981200" cy="1858645"/>
            <wp:effectExtent l="0" t="0" r="0" b="8255"/>
            <wp:wrapSquare wrapText="bothSides"/>
            <wp:docPr id="636065478" name="Picture 2" descr="A diagram of a company valu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65478" name="Picture 2" descr="A diagram of a company value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1200" cy="185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5A61">
        <w:rPr>
          <w:b/>
          <w:bCs/>
          <w:lang w:eastAsia="en-AU"/>
        </w:rPr>
        <w:t>Respect:</w:t>
      </w:r>
      <w:r>
        <w:rPr>
          <w:lang w:eastAsia="en-AU"/>
        </w:rPr>
        <w:t xml:space="preserve"> We</w:t>
      </w:r>
      <w:r w:rsidRPr="00D95741">
        <w:rPr>
          <w:lang w:eastAsia="en-AU"/>
        </w:rPr>
        <w:t xml:space="preserve"> approach every situation with kindness, compassion and an open mindset. We value people, the range of views and experience they bring and the work they undertake. </w:t>
      </w:r>
    </w:p>
    <w:p w14:paraId="5ABF8F11" w14:textId="77777777" w:rsidR="00C81293" w:rsidRPr="00D95741" w:rsidRDefault="00C81293" w:rsidP="00C81293">
      <w:pPr>
        <w:pStyle w:val="Bullet1"/>
        <w:ind w:left="284" w:hanging="284"/>
        <w:rPr>
          <w:lang w:eastAsia="en-AU"/>
        </w:rPr>
      </w:pPr>
      <w:r w:rsidRPr="46E22C0C">
        <w:rPr>
          <w:b/>
          <w:bCs/>
        </w:rPr>
        <w:t>Accountability:</w:t>
      </w:r>
      <w:r w:rsidRPr="46E22C0C">
        <w:rPr>
          <w:color w:val="004D7D"/>
          <w:sz w:val="36"/>
          <w:szCs w:val="36"/>
          <w:lang w:eastAsia="en-AU"/>
        </w:rPr>
        <w:t xml:space="preserve"> </w:t>
      </w:r>
      <w:r w:rsidRPr="46E22C0C">
        <w:rPr>
          <w:lang w:eastAsia="en-AU"/>
        </w:rPr>
        <w:t>We hold ourselves and each other accountable for our actions, how we work together and the quality of what we deliver. We gather feedback, reflect and act on opportunities for improvement. </w:t>
      </w:r>
    </w:p>
    <w:p w14:paraId="01E07844" w14:textId="77777777" w:rsidR="00C81293" w:rsidRPr="0056263E" w:rsidRDefault="00C81293" w:rsidP="00C81293">
      <w:pPr>
        <w:pStyle w:val="Bullet1"/>
        <w:spacing w:after="0" w:afterAutospacing="1"/>
        <w:ind w:left="284" w:hanging="284"/>
        <w:textAlignment w:val="baseline"/>
        <w:rPr>
          <w:rFonts w:ascii="Segoe UI" w:eastAsia="Times New Roman" w:hAnsi="Segoe UI" w:cs="Segoe UI"/>
          <w:sz w:val="18"/>
          <w:szCs w:val="18"/>
          <w:lang w:eastAsia="en-AU"/>
        </w:rPr>
      </w:pPr>
      <w:r w:rsidRPr="750FA8F6">
        <w:rPr>
          <w:b/>
          <w:bCs/>
        </w:rPr>
        <w:t>Collaboration:</w:t>
      </w:r>
      <w:r w:rsidRPr="750FA8F6">
        <w:rPr>
          <w:color w:val="004D7D"/>
          <w:sz w:val="36"/>
          <w:szCs w:val="36"/>
          <w:lang w:eastAsia="en-AU"/>
        </w:rPr>
        <w:t xml:space="preserve"> </w:t>
      </w:r>
      <w:r w:rsidRPr="750FA8F6">
        <w:rPr>
          <w:lang w:eastAsia="en-AU"/>
        </w:rPr>
        <w:t>We draw on our collective strength by encouraging each other to contribute to the achievement of shared objectives. We provide context and information to help others succeed. </w:t>
      </w:r>
      <w:r>
        <w:br/>
      </w:r>
      <w:r w:rsidRPr="750FA8F6">
        <w:rPr>
          <w:lang w:eastAsia="en-AU"/>
        </w:rPr>
        <w:t> </w:t>
      </w:r>
    </w:p>
    <w:p w14:paraId="1B726A33" w14:textId="77777777" w:rsidR="00C81293" w:rsidRPr="00D93FA5" w:rsidRDefault="00C81293" w:rsidP="00C81293">
      <w:pPr>
        <w:pStyle w:val="Bullet1"/>
        <w:numPr>
          <w:ilvl w:val="0"/>
          <w:numId w:val="0"/>
        </w:numPr>
        <w:spacing w:after="0" w:afterAutospacing="1"/>
        <w:textAlignment w:val="baseline"/>
        <w:rPr>
          <w:lang w:eastAsia="en-AU"/>
        </w:rPr>
      </w:pPr>
      <w:r w:rsidRPr="3CCC66DB">
        <w:rPr>
          <w:rFonts w:ascii="Arial" w:eastAsia="Times New Roman" w:hAnsi="Arial" w:cs="Arial"/>
          <w:color w:val="004D7D"/>
          <w:sz w:val="42"/>
          <w:szCs w:val="42"/>
          <w:lang w:eastAsia="en-AU"/>
        </w:rPr>
        <w:t>Our service standards</w:t>
      </w:r>
      <w:r>
        <w:br/>
      </w:r>
      <w:r>
        <w:br/>
      </w:r>
      <w:r w:rsidRPr="3CCC66DB">
        <w:rPr>
          <w:lang w:eastAsia="en-AU"/>
        </w:rPr>
        <w:t xml:space="preserve">Our service standards have been developed in partnership with stakeholders and apply from </w:t>
      </w:r>
      <w:r>
        <w:rPr>
          <w:lang w:eastAsia="en-AU"/>
        </w:rPr>
        <w:t>1 July 2024</w:t>
      </w:r>
      <w:r w:rsidRPr="3CCC66DB">
        <w:rPr>
          <w:lang w:eastAsia="en-AU"/>
        </w:rPr>
        <w:t>. These standards set out our targets in providing you a response in a courteous, respectful and timely way.</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678"/>
      </w:tblGrid>
      <w:tr w:rsidR="00C81293" w:rsidRPr="00D95741" w14:paraId="3E3EE022" w14:textId="77777777" w:rsidTr="005A3F0A">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004E7D"/>
            <w:hideMark/>
          </w:tcPr>
          <w:p w14:paraId="0F60E16D" w14:textId="77777777" w:rsidR="00C81293" w:rsidRPr="00475A61" w:rsidRDefault="00C81293" w:rsidP="005A3F0A">
            <w:pPr>
              <w:rPr>
                <w:rFonts w:ascii="Times New Roman" w:hAnsi="Times New Roman" w:cs="Times New Roman"/>
                <w:b/>
                <w:bCs/>
                <w:color w:val="FFFFFF" w:themeColor="background1"/>
                <w:lang w:eastAsia="en-AU"/>
              </w:rPr>
            </w:pPr>
            <w:r w:rsidRPr="00475A61">
              <w:rPr>
                <w:b/>
                <w:bCs/>
                <w:color w:val="FFFFFF" w:themeColor="background1"/>
                <w:lang w:eastAsia="en-AU"/>
              </w:rPr>
              <w:t>Contact or activity </w:t>
            </w:r>
          </w:p>
        </w:tc>
        <w:tc>
          <w:tcPr>
            <w:tcW w:w="4678" w:type="dxa"/>
            <w:tcBorders>
              <w:top w:val="single" w:sz="6" w:space="0" w:color="auto"/>
              <w:left w:val="single" w:sz="6" w:space="0" w:color="auto"/>
              <w:bottom w:val="single" w:sz="6" w:space="0" w:color="auto"/>
              <w:right w:val="single" w:sz="6" w:space="0" w:color="auto"/>
            </w:tcBorders>
            <w:shd w:val="clear" w:color="auto" w:fill="004E7D"/>
            <w:hideMark/>
          </w:tcPr>
          <w:p w14:paraId="12B4D43D" w14:textId="77777777" w:rsidR="00C81293" w:rsidRPr="00475A61" w:rsidRDefault="00C81293" w:rsidP="005A3F0A">
            <w:pPr>
              <w:rPr>
                <w:rFonts w:ascii="Times New Roman" w:hAnsi="Times New Roman" w:cs="Times New Roman"/>
                <w:b/>
                <w:bCs/>
                <w:color w:val="FFFFFF" w:themeColor="background1"/>
                <w:lang w:eastAsia="en-AU"/>
              </w:rPr>
            </w:pPr>
            <w:r w:rsidRPr="00475A61">
              <w:rPr>
                <w:b/>
                <w:bCs/>
                <w:color w:val="FFFFFF" w:themeColor="background1"/>
                <w:lang w:eastAsia="en-AU"/>
              </w:rPr>
              <w:t>Target </w:t>
            </w:r>
          </w:p>
        </w:tc>
      </w:tr>
      <w:tr w:rsidR="00C81293" w:rsidRPr="00D95741" w14:paraId="5F0C0629" w14:textId="77777777" w:rsidTr="005A3F0A">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D294621" w14:textId="77777777" w:rsidR="00C81293" w:rsidRPr="00475A61" w:rsidRDefault="00C81293" w:rsidP="005A3F0A">
            <w:pPr>
              <w:rPr>
                <w:rFonts w:ascii="Times New Roman" w:hAnsi="Times New Roman" w:cs="Times New Roman"/>
                <w:lang w:eastAsia="en-AU"/>
              </w:rPr>
            </w:pPr>
            <w:r w:rsidRPr="00475A61">
              <w:rPr>
                <w:lang w:eastAsia="en-AU"/>
              </w:rPr>
              <w:t xml:space="preserve">Contact </w:t>
            </w:r>
            <w:r>
              <w:rPr>
                <w:lang w:eastAsia="en-AU"/>
              </w:rPr>
              <w:t>via our website contact form</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0374284C" w14:textId="77777777" w:rsidR="00C81293" w:rsidRPr="00475A61" w:rsidRDefault="00C81293" w:rsidP="005A3F0A">
            <w:pPr>
              <w:rPr>
                <w:rFonts w:ascii="Times New Roman" w:hAnsi="Times New Roman" w:cs="Times New Roman"/>
                <w:lang w:eastAsia="en-AU"/>
              </w:rPr>
            </w:pPr>
            <w:r w:rsidRPr="00475A61">
              <w:rPr>
                <w:lang w:eastAsia="en-AU"/>
              </w:rPr>
              <w:t>100% have receipt acknowledged within one business day </w:t>
            </w:r>
          </w:p>
          <w:p w14:paraId="1A3AA9F4" w14:textId="77777777" w:rsidR="00C81293" w:rsidRPr="00475A61" w:rsidRDefault="00C81293" w:rsidP="005A3F0A">
            <w:pPr>
              <w:rPr>
                <w:rFonts w:ascii="Times New Roman" w:hAnsi="Times New Roman" w:cs="Times New Roman"/>
                <w:lang w:eastAsia="en-AU"/>
              </w:rPr>
            </w:pPr>
            <w:r w:rsidRPr="00475A61">
              <w:rPr>
                <w:lang w:eastAsia="en-AU"/>
              </w:rPr>
              <w:t> </w:t>
            </w:r>
          </w:p>
          <w:p w14:paraId="5796ADE9" w14:textId="77777777" w:rsidR="00C81293" w:rsidRPr="00475A61" w:rsidRDefault="00C81293" w:rsidP="005A3F0A">
            <w:pPr>
              <w:rPr>
                <w:rFonts w:ascii="Times New Roman" w:hAnsi="Times New Roman" w:cs="Times New Roman"/>
                <w:lang w:eastAsia="en-AU"/>
              </w:rPr>
            </w:pPr>
            <w:r w:rsidRPr="00475A61">
              <w:rPr>
                <w:lang w:eastAsia="en-AU"/>
              </w:rPr>
              <w:t>80% responded to in 5 business days </w:t>
            </w:r>
          </w:p>
          <w:p w14:paraId="4A9AAD4B" w14:textId="77777777" w:rsidR="00C81293" w:rsidRPr="00475A61" w:rsidRDefault="00C81293" w:rsidP="005A3F0A">
            <w:pPr>
              <w:rPr>
                <w:rFonts w:ascii="Times New Roman" w:hAnsi="Times New Roman" w:cs="Times New Roman"/>
                <w:lang w:eastAsia="en-AU"/>
              </w:rPr>
            </w:pPr>
            <w:r w:rsidRPr="00475A61">
              <w:rPr>
                <w:lang w:eastAsia="en-AU"/>
              </w:rPr>
              <w:t> </w:t>
            </w:r>
          </w:p>
          <w:p w14:paraId="2AF6F46F" w14:textId="77777777" w:rsidR="00C81293" w:rsidRPr="00475A61" w:rsidRDefault="00C81293" w:rsidP="005A3F0A">
            <w:pPr>
              <w:rPr>
                <w:rFonts w:ascii="Times New Roman" w:hAnsi="Times New Roman" w:cs="Times New Roman"/>
                <w:lang w:eastAsia="en-AU"/>
              </w:rPr>
            </w:pPr>
            <w:r w:rsidRPr="00475A61">
              <w:rPr>
                <w:lang w:eastAsia="en-AU"/>
              </w:rPr>
              <w:t>90% responded to in 10 business days    </w:t>
            </w:r>
          </w:p>
        </w:tc>
      </w:tr>
      <w:tr w:rsidR="00C81293" w:rsidRPr="00D95741" w14:paraId="2D6E7728" w14:textId="77777777" w:rsidTr="005A3F0A">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B5549CE" w14:textId="77777777" w:rsidR="00C81293" w:rsidRPr="00475A61" w:rsidRDefault="00C81293" w:rsidP="005A3F0A">
            <w:pPr>
              <w:rPr>
                <w:rFonts w:ascii="Times New Roman" w:hAnsi="Times New Roman" w:cs="Times New Roman"/>
                <w:lang w:eastAsia="en-AU"/>
              </w:rPr>
            </w:pPr>
            <w:r w:rsidRPr="00475A61">
              <w:rPr>
                <w:lang w:eastAsia="en-AU"/>
              </w:rPr>
              <w:t>Telephone calls to enquiries line </w:t>
            </w:r>
          </w:p>
          <w:p w14:paraId="41FD47CA" w14:textId="77777777" w:rsidR="00C81293" w:rsidRPr="00475A61" w:rsidRDefault="00C81293" w:rsidP="005A3F0A">
            <w:pPr>
              <w:rPr>
                <w:rFonts w:ascii="Times New Roman" w:hAnsi="Times New Roman" w:cs="Times New Roman"/>
                <w:lang w:eastAsia="en-AU"/>
              </w:rPr>
            </w:pPr>
            <w:r w:rsidRPr="00475A61">
              <w:rPr>
                <w:lang w:eastAsia="en-AU"/>
              </w:rPr>
              <w:t>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2CB7F636" w14:textId="77777777" w:rsidR="00C81293" w:rsidRPr="00475A61" w:rsidRDefault="00C81293" w:rsidP="005A3F0A">
            <w:pPr>
              <w:rPr>
                <w:rFonts w:ascii="Times New Roman" w:hAnsi="Times New Roman" w:cs="Times New Roman"/>
                <w:lang w:eastAsia="en-AU"/>
              </w:rPr>
            </w:pPr>
            <w:r w:rsidRPr="00475A61">
              <w:rPr>
                <w:lang w:eastAsia="en-AU"/>
              </w:rPr>
              <w:t>70% answered on the spot </w:t>
            </w:r>
          </w:p>
          <w:p w14:paraId="286D49B0" w14:textId="77777777" w:rsidR="00C81293" w:rsidRPr="00475A61" w:rsidRDefault="00C81293" w:rsidP="005A3F0A">
            <w:pPr>
              <w:rPr>
                <w:rFonts w:ascii="Times New Roman" w:hAnsi="Times New Roman" w:cs="Times New Roman"/>
                <w:lang w:eastAsia="en-AU"/>
              </w:rPr>
            </w:pPr>
            <w:r w:rsidRPr="00475A61">
              <w:rPr>
                <w:lang w:eastAsia="en-AU"/>
              </w:rPr>
              <w:t> </w:t>
            </w:r>
          </w:p>
          <w:p w14:paraId="03B0B723" w14:textId="77777777" w:rsidR="00C81293" w:rsidRPr="00475A61" w:rsidRDefault="00C81293" w:rsidP="005A3F0A">
            <w:pPr>
              <w:rPr>
                <w:rFonts w:ascii="Times New Roman" w:hAnsi="Times New Roman" w:cs="Times New Roman"/>
                <w:lang w:eastAsia="en-AU"/>
              </w:rPr>
            </w:pPr>
            <w:r w:rsidRPr="00475A61">
              <w:rPr>
                <w:lang w:eastAsia="en-AU"/>
              </w:rPr>
              <w:t>90% of missed calls that leave a message and contact number are called back within 2 business days </w:t>
            </w:r>
          </w:p>
        </w:tc>
      </w:tr>
      <w:tr w:rsidR="00C81293" w:rsidRPr="00D95741" w14:paraId="4DA84239" w14:textId="77777777" w:rsidTr="005A3F0A">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1DE1147" w14:textId="77777777" w:rsidR="00C81293" w:rsidRPr="00475A61" w:rsidRDefault="00C81293" w:rsidP="005A3F0A">
            <w:pPr>
              <w:rPr>
                <w:rFonts w:ascii="Times New Roman" w:hAnsi="Times New Roman" w:cs="Times New Roman"/>
                <w:lang w:eastAsia="en-AU"/>
              </w:rPr>
            </w:pPr>
            <w:r w:rsidRPr="00475A61">
              <w:rPr>
                <w:lang w:eastAsia="en-AU"/>
              </w:rPr>
              <w:t>Complaints about TEQSA </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3F4978CE" w14:textId="77777777" w:rsidR="00C81293" w:rsidRPr="00475A61" w:rsidRDefault="00C81293" w:rsidP="005A3F0A">
            <w:pPr>
              <w:rPr>
                <w:rFonts w:ascii="Times New Roman" w:hAnsi="Times New Roman" w:cs="Times New Roman"/>
                <w:lang w:eastAsia="en-AU"/>
              </w:rPr>
            </w:pPr>
            <w:r w:rsidRPr="46E22C0C">
              <w:rPr>
                <w:lang w:eastAsia="en-AU"/>
              </w:rPr>
              <w:t xml:space="preserve">Acknowledge the complaint and </w:t>
            </w:r>
            <w:r>
              <w:rPr>
                <w:lang w:eastAsia="en-AU"/>
              </w:rPr>
              <w:t>inform you</w:t>
            </w:r>
            <w:r w:rsidRPr="46E22C0C">
              <w:rPr>
                <w:lang w:eastAsia="en-AU"/>
              </w:rPr>
              <w:t xml:space="preserve"> about a substantive response within 2 business days </w:t>
            </w:r>
          </w:p>
          <w:p w14:paraId="00AC5088" w14:textId="77777777" w:rsidR="00C81293" w:rsidRPr="00475A61" w:rsidRDefault="00C81293" w:rsidP="005A3F0A">
            <w:pPr>
              <w:rPr>
                <w:rFonts w:ascii="Times New Roman" w:hAnsi="Times New Roman" w:cs="Times New Roman"/>
                <w:lang w:eastAsia="en-AU"/>
              </w:rPr>
            </w:pPr>
            <w:r w:rsidRPr="00475A61">
              <w:rPr>
                <w:lang w:eastAsia="en-AU"/>
              </w:rPr>
              <w:lastRenderedPageBreak/>
              <w:t> </w:t>
            </w:r>
          </w:p>
          <w:p w14:paraId="6D9A25C7" w14:textId="77777777" w:rsidR="00C81293" w:rsidRPr="00475A61" w:rsidRDefault="00C81293" w:rsidP="005A3F0A">
            <w:pPr>
              <w:rPr>
                <w:rFonts w:ascii="Times New Roman" w:hAnsi="Times New Roman" w:cs="Times New Roman"/>
                <w:lang w:eastAsia="en-AU"/>
              </w:rPr>
            </w:pPr>
            <w:r w:rsidRPr="46E22C0C">
              <w:rPr>
                <w:lang w:eastAsia="en-AU"/>
              </w:rPr>
              <w:t xml:space="preserve">90% of complaints are provided a substantive response within 90 </w:t>
            </w:r>
            <w:r>
              <w:rPr>
                <w:lang w:eastAsia="en-AU"/>
              </w:rPr>
              <w:t>days</w:t>
            </w:r>
          </w:p>
        </w:tc>
      </w:tr>
      <w:tr w:rsidR="00C81293" w:rsidRPr="00D95741" w14:paraId="5C757455" w14:textId="77777777" w:rsidTr="005A3F0A">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B015E8C" w14:textId="77777777" w:rsidR="00C81293" w:rsidRPr="00475A61" w:rsidRDefault="00C81293" w:rsidP="005A3F0A">
            <w:pPr>
              <w:spacing w:line="259" w:lineRule="auto"/>
              <w:rPr>
                <w:lang w:eastAsia="en-AU"/>
              </w:rPr>
            </w:pPr>
            <w:r w:rsidRPr="750FA8F6">
              <w:rPr>
                <w:lang w:eastAsia="en-AU"/>
              </w:rPr>
              <w:lastRenderedPageBreak/>
              <w:t xml:space="preserve">Enquiries to TEQSA’s online enquiry form, 1300 739 585 phone number or the </w:t>
            </w:r>
            <w:hyperlink r:id="rId32" w:history="1">
              <w:r w:rsidRPr="750FA8F6">
                <w:rPr>
                  <w:rStyle w:val="Hyperlink"/>
                  <w:lang w:eastAsia="en-AU"/>
                </w:rPr>
                <w:t>enquiries@teqsa.gov.au</w:t>
              </w:r>
            </w:hyperlink>
            <w:r w:rsidRPr="750FA8F6">
              <w:rPr>
                <w:lang w:eastAsia="en-AU"/>
              </w:rPr>
              <w:t xml:space="preserve"> email address</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0E94F289" w14:textId="77777777" w:rsidR="00C81293" w:rsidRPr="00475A61" w:rsidRDefault="00C81293" w:rsidP="005A3F0A">
            <w:pPr>
              <w:rPr>
                <w:rFonts w:ascii="Times New Roman" w:hAnsi="Times New Roman" w:cs="Times New Roman"/>
                <w:lang w:eastAsia="en-AU"/>
              </w:rPr>
            </w:pPr>
            <w:r w:rsidRPr="211147E4">
              <w:rPr>
                <w:lang w:eastAsia="en-AU"/>
              </w:rPr>
              <w:t>80% are responded to within 5 business days </w:t>
            </w:r>
          </w:p>
          <w:p w14:paraId="032924CD" w14:textId="77777777" w:rsidR="00C81293" w:rsidRPr="00475A61" w:rsidRDefault="00C81293" w:rsidP="005A3F0A">
            <w:pPr>
              <w:rPr>
                <w:rFonts w:ascii="Times New Roman" w:hAnsi="Times New Roman" w:cs="Times New Roman"/>
                <w:lang w:eastAsia="en-AU"/>
              </w:rPr>
            </w:pPr>
            <w:r w:rsidRPr="00475A61">
              <w:rPr>
                <w:lang w:eastAsia="en-AU"/>
              </w:rPr>
              <w:t> </w:t>
            </w:r>
          </w:p>
        </w:tc>
      </w:tr>
      <w:tr w:rsidR="00C81293" w:rsidRPr="00D95741" w14:paraId="4DF57C37" w14:textId="77777777" w:rsidTr="005A3F0A">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20FCD300" w14:textId="77777777" w:rsidR="00C81293" w:rsidRPr="00475A61" w:rsidRDefault="00C81293" w:rsidP="005A3F0A">
            <w:pPr>
              <w:rPr>
                <w:lang w:eastAsia="en-AU"/>
              </w:rPr>
            </w:pPr>
            <w:r>
              <w:rPr>
                <w:lang w:eastAsia="en-AU"/>
              </w:rPr>
              <w:t>Compliance assessments and investigations</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E37639F" w14:textId="77777777" w:rsidR="00C81293" w:rsidRPr="00475A61" w:rsidRDefault="00C81293" w:rsidP="005A3F0A">
            <w:pPr>
              <w:rPr>
                <w:lang w:eastAsia="en-AU"/>
              </w:rPr>
            </w:pPr>
            <w:r w:rsidRPr="4D33F2B1">
              <w:rPr>
                <w:lang w:eastAsia="en-AU"/>
              </w:rPr>
              <w:t>Where a compliance assessment or investigation is underway, we will inform the provider at least once every 90 days on the progress of the assessment or investigation</w:t>
            </w:r>
          </w:p>
        </w:tc>
      </w:tr>
      <w:tr w:rsidR="00C81293" w:rsidRPr="00D95741" w14:paraId="35D2E551" w14:textId="77777777" w:rsidTr="005A3F0A">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5DAB1F53" w14:textId="77777777" w:rsidR="00C81293" w:rsidRDefault="00C81293" w:rsidP="005A3F0A">
            <w:pPr>
              <w:rPr>
                <w:lang w:eastAsia="en-AU"/>
              </w:rPr>
            </w:pPr>
            <w:r>
              <w:rPr>
                <w:lang w:eastAsia="en-AU"/>
              </w:rPr>
              <w:t>Conditions of registrations or accreditation</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08DD88B9" w14:textId="77777777" w:rsidR="00C81293" w:rsidRDefault="00C81293" w:rsidP="005A3F0A">
            <w:pPr>
              <w:rPr>
                <w:lang w:eastAsia="en-AU"/>
              </w:rPr>
            </w:pPr>
            <w:r w:rsidRPr="46E22C0C">
              <w:rPr>
                <w:lang w:eastAsia="en-AU"/>
              </w:rPr>
              <w:t>TEQSA will annually review conditions of registration or accreditation to determine whether they should be retained or removed</w:t>
            </w:r>
          </w:p>
        </w:tc>
      </w:tr>
    </w:tbl>
    <w:p w14:paraId="76B43288" w14:textId="77777777" w:rsidR="00C81293" w:rsidRDefault="00C81293" w:rsidP="00C81293">
      <w:pPr>
        <w:spacing w:after="0" w:afterAutospacing="1"/>
        <w:textAlignment w:val="baseline"/>
        <w:rPr>
          <w:rFonts w:ascii="Arial" w:eastAsia="Times New Roman" w:hAnsi="Arial" w:cs="Arial"/>
          <w:lang w:eastAsia="en-AU"/>
        </w:rPr>
      </w:pPr>
      <w:r w:rsidRPr="41A787B2">
        <w:rPr>
          <w:rFonts w:ascii="Arial" w:eastAsia="Times New Roman" w:hAnsi="Arial" w:cs="Arial"/>
          <w:lang w:eastAsia="en-AU"/>
        </w:rPr>
        <w:t xml:space="preserve">Because regulatory assessments are complex and often require nuanced approaches in different situations, we have not set targets beyond the timeframes specified by legislation for these assessments. We will, however, set out </w:t>
      </w:r>
      <w:r>
        <w:rPr>
          <w:rFonts w:ascii="Arial" w:eastAsia="Times New Roman" w:hAnsi="Arial" w:cs="Arial"/>
          <w:lang w:eastAsia="en-AU"/>
        </w:rPr>
        <w:t>indicative</w:t>
      </w:r>
      <w:r w:rsidRPr="41A787B2">
        <w:rPr>
          <w:rFonts w:ascii="Arial" w:eastAsia="Times New Roman" w:hAnsi="Arial" w:cs="Arial"/>
          <w:lang w:eastAsia="en-AU"/>
        </w:rPr>
        <w:t xml:space="preserve"> assessment times which we will report on our website. Where we are likely to exceed our median assessment times, we will inform you and explain why.</w:t>
      </w:r>
    </w:p>
    <w:p w14:paraId="7A039100" w14:textId="77777777" w:rsidR="00C81293" w:rsidRDefault="00C81293" w:rsidP="00C81293">
      <w:pPr>
        <w:spacing w:after="0" w:afterAutospacing="1"/>
        <w:textAlignment w:val="baseline"/>
        <w:rPr>
          <w:rFonts w:ascii="Arial" w:eastAsia="Times New Roman" w:hAnsi="Arial" w:cs="Arial"/>
          <w:lang w:eastAsia="en-AU"/>
        </w:rPr>
      </w:pPr>
      <w:r>
        <w:rPr>
          <w:lang w:eastAsia="en-AU"/>
        </w:rPr>
        <w:t xml:space="preserve">Separately, for information about the legislated timeframes we must meet in undertaking our regulatory activities please see Appendix B on </w:t>
      </w:r>
      <w:r w:rsidRPr="00FA7B75">
        <w:rPr>
          <w:lang w:eastAsia="en-AU"/>
        </w:rPr>
        <w:t>page</w:t>
      </w:r>
      <w:r>
        <w:rPr>
          <w:lang w:eastAsia="en-AU"/>
        </w:rPr>
        <w:t xml:space="preserve"> 8</w:t>
      </w:r>
    </w:p>
    <w:p w14:paraId="75DEA81B" w14:textId="77777777" w:rsidR="00C81293" w:rsidRPr="00D95741" w:rsidRDefault="00C81293" w:rsidP="00C81293">
      <w:pPr>
        <w:spacing w:beforeAutospacing="1" w:after="0" w:afterAutospacing="1"/>
        <w:textAlignment w:val="baseline"/>
        <w:rPr>
          <w:rFonts w:ascii="Segoe UI" w:eastAsia="Times New Roman" w:hAnsi="Segoe UI" w:cs="Segoe UI"/>
          <w:sz w:val="18"/>
          <w:szCs w:val="18"/>
          <w:lang w:eastAsia="en-AU"/>
        </w:rPr>
      </w:pPr>
      <w:r w:rsidRPr="00D95741">
        <w:rPr>
          <w:rFonts w:ascii="Arial" w:eastAsia="Times New Roman" w:hAnsi="Arial" w:cs="Arial"/>
          <w:color w:val="004D7D"/>
          <w:sz w:val="42"/>
          <w:szCs w:val="42"/>
          <w:lang w:eastAsia="en-AU"/>
        </w:rPr>
        <w:t>Our commitment to continuous improvement </w:t>
      </w:r>
    </w:p>
    <w:p w14:paraId="79E3FE6E" w14:textId="77777777" w:rsidR="00C81293" w:rsidRDefault="00C81293" w:rsidP="00C81293">
      <w:r>
        <w:t xml:space="preserve">We are committed to monitoring, evaluating and year-on-year improving our performance against this charter, service standards and legislated timeframes. </w:t>
      </w:r>
    </w:p>
    <w:p w14:paraId="3AA4AE15" w14:textId="77777777" w:rsidR="00C81293" w:rsidRDefault="00C81293" w:rsidP="00C81293">
      <w:r>
        <w:t>In the context of an increased volume of applications over recent years, TEQSA is implementing digital enhancements and changes to our regulatory service model. This will further support TEQSA’s regulatory operations to meet service standards by reducing manual processing and streamlining our interactions with regulated providers through the redesign of internal systems. It is our expectation that this service charter and our service standards will be further reviewed in 2026 once these changes take effect.</w:t>
      </w:r>
    </w:p>
    <w:p w14:paraId="5AB739AA" w14:textId="77777777" w:rsidR="00C81293" w:rsidRDefault="00C81293" w:rsidP="00C81293">
      <w:pPr>
        <w:rPr>
          <w:rFonts w:ascii="Arial" w:eastAsia="Arial" w:hAnsi="Arial" w:cs="Arial"/>
        </w:rPr>
      </w:pPr>
      <w:r w:rsidRPr="46E22C0C">
        <w:rPr>
          <w:rFonts w:ascii="Helvetica" w:eastAsia="Helvetica" w:hAnsi="Helvetica" w:cs="Helvetica"/>
          <w:sz w:val="23"/>
          <w:szCs w:val="23"/>
        </w:rPr>
        <w:t>Alongside, and in support of, these investments in our systems and people, we will seek to optimise our assessment timeframes while maintaining quality. This is in recognition of the sensitivity of the higher education market and the impact delays in regulatory assessments may have on providers, as well as the importance of TEQSA providing an effective and efficient service.</w:t>
      </w:r>
    </w:p>
    <w:p w14:paraId="422C0706" w14:textId="77777777" w:rsidR="00C81293" w:rsidRDefault="00C81293" w:rsidP="00C81293">
      <w:r>
        <w:t>We report on our performance against our service standards on our website.</w:t>
      </w:r>
    </w:p>
    <w:p w14:paraId="2E1649F9" w14:textId="77777777" w:rsidR="00C81293" w:rsidRDefault="00C81293" w:rsidP="00C81293">
      <w:pPr>
        <w:pStyle w:val="Heading2"/>
      </w:pPr>
      <w:r>
        <w:t xml:space="preserve">How to provide feedback </w:t>
      </w:r>
    </w:p>
    <w:p w14:paraId="2820924D" w14:textId="77777777" w:rsidR="00C81293" w:rsidRPr="0028290C" w:rsidRDefault="00C81293" w:rsidP="00C81293">
      <w:r w:rsidRPr="0028290C">
        <w:t xml:space="preserve">We value feedback on the quality of our service and seek this in a number of ways, including: </w:t>
      </w:r>
    </w:p>
    <w:p w14:paraId="04995A56" w14:textId="77777777" w:rsidR="00C81293" w:rsidRPr="0028290C" w:rsidRDefault="00C81293" w:rsidP="00C81293">
      <w:r w:rsidRPr="0028290C">
        <w:t xml:space="preserve">• asking those who engage with us about their experience, </w:t>
      </w:r>
    </w:p>
    <w:p w14:paraId="0A2B37DD" w14:textId="77777777" w:rsidR="00C81293" w:rsidRPr="0028290C" w:rsidRDefault="00C81293" w:rsidP="00C81293">
      <w:r w:rsidRPr="0028290C">
        <w:lastRenderedPageBreak/>
        <w:t>• having open communication channels,</w:t>
      </w:r>
    </w:p>
    <w:p w14:paraId="370AC99D" w14:textId="77777777" w:rsidR="00C81293" w:rsidRPr="0028290C" w:rsidRDefault="00C81293" w:rsidP="00C81293">
      <w:r w:rsidRPr="0028290C">
        <w:t xml:space="preserve">• reviewing and analysing information from surveys and complaints. </w:t>
      </w:r>
    </w:p>
    <w:p w14:paraId="33E56BF2" w14:textId="77777777" w:rsidR="00C81293" w:rsidRPr="0028290C" w:rsidRDefault="00C81293" w:rsidP="00C81293">
      <w:r>
        <w:t>We use the feedback we receive to continuously improve and publish information on how we are performing; to demonstrate our commitment to transparent management, accountability for results, and efficient and effective regulation which is best practice and supported by our cost recovery model.</w:t>
      </w:r>
    </w:p>
    <w:p w14:paraId="036AE993" w14:textId="77777777" w:rsidR="00C81293" w:rsidRDefault="00C81293" w:rsidP="00C81293">
      <w:r>
        <w:t xml:space="preserve">Our service standards and charter have been developed in partnership with key stakeholders. We welcome your feedback on the effectiveness of this charter and the service we provide. </w:t>
      </w:r>
    </w:p>
    <w:p w14:paraId="378F6AE5" w14:textId="77777777" w:rsidR="00C81293" w:rsidRDefault="00C81293" w:rsidP="00C81293">
      <w:pPr>
        <w:rPr>
          <w:lang w:eastAsia="en-AU"/>
        </w:rPr>
      </w:pPr>
      <w:r>
        <w:t>If you would like to offer us feedback on our service (positive, negative or otherwise) please:</w:t>
      </w:r>
    </w:p>
    <w:p w14:paraId="14049967" w14:textId="77777777" w:rsidR="00C81293" w:rsidRDefault="00C81293" w:rsidP="00C81293">
      <w:pPr>
        <w:pStyle w:val="ListParagraph"/>
        <w:numPr>
          <w:ilvl w:val="0"/>
          <w:numId w:val="29"/>
        </w:numPr>
        <w:rPr>
          <w:lang w:eastAsia="en-AU"/>
        </w:rPr>
      </w:pPr>
      <w:r>
        <w:rPr>
          <w:lang w:eastAsia="en-AU"/>
        </w:rPr>
        <w:t>contact us via</w:t>
      </w:r>
      <w:r w:rsidRPr="00D95741">
        <w:rPr>
          <w:lang w:eastAsia="en-AU"/>
        </w:rPr>
        <w:t> </w:t>
      </w:r>
      <w:hyperlink r:id="rId33" w:tgtFrame="_blank" w:history="1">
        <w:r w:rsidRPr="00E0590F">
          <w:rPr>
            <w:color w:val="003E64"/>
            <w:u w:val="single"/>
            <w:lang w:eastAsia="en-AU"/>
          </w:rPr>
          <w:t>our online enquiry form</w:t>
        </w:r>
      </w:hyperlink>
    </w:p>
    <w:p w14:paraId="0F7DBF77" w14:textId="77777777" w:rsidR="00C81293" w:rsidRDefault="00C81293" w:rsidP="00C81293">
      <w:pPr>
        <w:pStyle w:val="ListParagraph"/>
        <w:numPr>
          <w:ilvl w:val="0"/>
          <w:numId w:val="29"/>
        </w:numPr>
        <w:rPr>
          <w:lang w:eastAsia="en-AU"/>
        </w:rPr>
      </w:pPr>
      <w:r w:rsidRPr="46E22C0C">
        <w:rPr>
          <w:lang w:eastAsia="en-AU"/>
        </w:rPr>
        <w:t>call us on 1300 739 585 between 9:00am and 5:00pm AEST, Monday-Friday (excluding public holidays).</w:t>
      </w:r>
    </w:p>
    <w:p w14:paraId="6626F0CD" w14:textId="77777777" w:rsidR="00C81293" w:rsidRDefault="00C81293" w:rsidP="00C81293">
      <w:pPr>
        <w:rPr>
          <w:lang w:eastAsia="en-AU"/>
        </w:rPr>
      </w:pPr>
      <w:r w:rsidRPr="00D95741">
        <w:rPr>
          <w:lang w:eastAsia="en-AU"/>
        </w:rPr>
        <w:t>For more information, visit our </w:t>
      </w:r>
      <w:hyperlink r:id="rId34" w:tgtFrame="_blank" w:history="1">
        <w:r w:rsidRPr="00D95741">
          <w:rPr>
            <w:color w:val="003E64"/>
            <w:u w:val="single"/>
            <w:lang w:eastAsia="en-AU"/>
          </w:rPr>
          <w:t>Contact us page</w:t>
        </w:r>
      </w:hyperlink>
      <w:r w:rsidRPr="00D95741">
        <w:rPr>
          <w:lang w:eastAsia="en-AU"/>
        </w:rPr>
        <w:t>. </w:t>
      </w:r>
    </w:p>
    <w:p w14:paraId="7EF0C7A1" w14:textId="77777777" w:rsidR="00C81293" w:rsidRPr="00E0590F" w:rsidRDefault="00DB5CD3" w:rsidP="00C81293">
      <w:pPr>
        <w:rPr>
          <w:lang w:eastAsia="en-AU"/>
        </w:rPr>
      </w:pPr>
      <w:hyperlink r:id="rId35" w:history="1">
        <w:r w:rsidR="00C81293" w:rsidRPr="00E0590F">
          <w:rPr>
            <w:rStyle w:val="Hyperlink"/>
            <w:rFonts w:ascii="Arial" w:eastAsia="Times New Roman" w:hAnsi="Arial" w:cs="Arial"/>
            <w:color w:val="000000" w:themeColor="text1"/>
            <w:lang w:eastAsia="en-AU"/>
          </w:rPr>
          <w:t>Further information about complaint</w:t>
        </w:r>
        <w:r w:rsidR="00C81293">
          <w:rPr>
            <w:rStyle w:val="Hyperlink"/>
            <w:rFonts w:ascii="Arial" w:eastAsia="Times New Roman" w:hAnsi="Arial" w:cs="Arial"/>
            <w:color w:val="000000" w:themeColor="text1"/>
            <w:lang w:eastAsia="en-AU"/>
          </w:rPr>
          <w:t>s</w:t>
        </w:r>
        <w:r w:rsidR="00C81293" w:rsidRPr="00E0590F">
          <w:rPr>
            <w:rStyle w:val="Hyperlink"/>
            <w:rFonts w:ascii="Arial" w:eastAsia="Times New Roman" w:hAnsi="Arial" w:cs="Arial"/>
            <w:color w:val="000000" w:themeColor="text1"/>
            <w:lang w:eastAsia="en-AU"/>
          </w:rPr>
          <w:t xml:space="preserve"> about TEQSA can be found on our website.</w:t>
        </w:r>
      </w:hyperlink>
    </w:p>
    <w:p w14:paraId="76275F8D" w14:textId="77777777" w:rsidR="00C81293" w:rsidRDefault="00C81293" w:rsidP="00C81293">
      <w:pPr>
        <w:rPr>
          <w:rFonts w:ascii="Arial" w:eastAsia="Times New Roman" w:hAnsi="Arial" w:cs="Arial"/>
          <w:color w:val="004D7D"/>
          <w:sz w:val="42"/>
          <w:szCs w:val="42"/>
          <w:lang w:eastAsia="en-AU"/>
        </w:rPr>
      </w:pPr>
      <w:r>
        <w:rPr>
          <w:rFonts w:ascii="Arial" w:eastAsia="Times New Roman" w:hAnsi="Arial" w:cs="Arial"/>
          <w:color w:val="004D7D"/>
          <w:sz w:val="42"/>
          <w:szCs w:val="42"/>
          <w:lang w:eastAsia="en-AU"/>
        </w:rPr>
        <w:br/>
      </w:r>
    </w:p>
    <w:p w14:paraId="5F898BFF" w14:textId="77777777" w:rsidR="00C81293" w:rsidRDefault="00C81293" w:rsidP="00C81293">
      <w:pPr>
        <w:rPr>
          <w:rFonts w:ascii="Arial" w:eastAsia="Times New Roman" w:hAnsi="Arial" w:cs="Arial"/>
          <w:color w:val="004D7D"/>
          <w:sz w:val="42"/>
          <w:szCs w:val="42"/>
          <w:lang w:eastAsia="en-AU"/>
        </w:rPr>
      </w:pPr>
      <w:r>
        <w:rPr>
          <w:rFonts w:ascii="Arial" w:eastAsia="Times New Roman" w:hAnsi="Arial" w:cs="Arial"/>
          <w:color w:val="004D7D"/>
          <w:sz w:val="42"/>
          <w:szCs w:val="42"/>
          <w:lang w:eastAsia="en-AU"/>
        </w:rPr>
        <w:br w:type="page"/>
      </w:r>
    </w:p>
    <w:p w14:paraId="3ACCA581" w14:textId="77777777" w:rsidR="00C81293" w:rsidRDefault="00C81293" w:rsidP="00C81293">
      <w:pPr>
        <w:rPr>
          <w:rFonts w:ascii="Arial" w:eastAsia="Times New Roman" w:hAnsi="Arial" w:cs="Arial"/>
          <w:color w:val="004D7D"/>
          <w:sz w:val="42"/>
          <w:szCs w:val="42"/>
          <w:lang w:eastAsia="en-AU"/>
        </w:rPr>
      </w:pPr>
      <w:r>
        <w:rPr>
          <w:rFonts w:ascii="Arial" w:eastAsia="Times New Roman" w:hAnsi="Arial" w:cs="Arial"/>
          <w:color w:val="004D7D"/>
          <w:sz w:val="42"/>
          <w:szCs w:val="42"/>
          <w:lang w:eastAsia="en-AU"/>
        </w:rPr>
        <w:lastRenderedPageBreak/>
        <w:t>Appendix A</w:t>
      </w:r>
    </w:p>
    <w:p w14:paraId="57F626F8" w14:textId="77777777" w:rsidR="00C81293" w:rsidRPr="00D95741" w:rsidRDefault="00C81293" w:rsidP="00C81293">
      <w:pPr>
        <w:rPr>
          <w:rFonts w:ascii="Segoe UI" w:eastAsia="Times New Roman" w:hAnsi="Segoe UI" w:cs="Segoe UI"/>
          <w:sz w:val="18"/>
          <w:szCs w:val="18"/>
          <w:lang w:eastAsia="en-AU"/>
        </w:rPr>
      </w:pPr>
      <w:r w:rsidRPr="00D95741">
        <w:rPr>
          <w:rFonts w:ascii="Arial" w:eastAsia="Times New Roman" w:hAnsi="Arial" w:cs="Arial"/>
          <w:color w:val="004D7D"/>
          <w:sz w:val="42"/>
          <w:szCs w:val="42"/>
          <w:lang w:eastAsia="en-AU"/>
        </w:rPr>
        <w:t xml:space="preserve">What </w:t>
      </w:r>
      <w:r>
        <w:rPr>
          <w:rFonts w:ascii="Arial" w:eastAsia="Times New Roman" w:hAnsi="Arial" w:cs="Arial"/>
          <w:color w:val="004D7D"/>
          <w:sz w:val="42"/>
          <w:szCs w:val="42"/>
          <w:lang w:eastAsia="en-AU"/>
        </w:rPr>
        <w:t>you can expect from us as a:</w:t>
      </w:r>
    </w:p>
    <w:p w14:paraId="1941E185" w14:textId="77777777" w:rsidR="00C81293" w:rsidRPr="00D95741" w:rsidRDefault="00C81293" w:rsidP="00C81293">
      <w:pPr>
        <w:spacing w:after="0" w:afterAutospacing="1"/>
        <w:textAlignment w:val="baseline"/>
        <w:rPr>
          <w:rFonts w:ascii="Segoe UI" w:eastAsia="Times New Roman" w:hAnsi="Segoe UI" w:cs="Segoe UI"/>
          <w:sz w:val="18"/>
          <w:szCs w:val="18"/>
          <w:lang w:eastAsia="en-AU"/>
        </w:rPr>
      </w:pPr>
      <w:r w:rsidRPr="00D95741">
        <w:rPr>
          <w:rFonts w:ascii="Arial" w:eastAsia="Times New Roman" w:hAnsi="Arial" w:cs="Arial"/>
          <w:color w:val="004D7D"/>
          <w:sz w:val="36"/>
          <w:szCs w:val="36"/>
          <w:lang w:eastAsia="en-AU"/>
        </w:rPr>
        <w:t>Current higher education, ELICOS or Foundation Program providers </w:t>
      </w:r>
    </w:p>
    <w:p w14:paraId="0F757499" w14:textId="77777777" w:rsidR="00C81293" w:rsidRPr="00D95741" w:rsidRDefault="00C81293" w:rsidP="00C81293">
      <w:pPr>
        <w:rPr>
          <w:rFonts w:ascii="Segoe UI" w:hAnsi="Segoe UI" w:cs="Segoe UI"/>
          <w:sz w:val="18"/>
          <w:szCs w:val="18"/>
          <w:lang w:eastAsia="en-AU"/>
        </w:rPr>
      </w:pPr>
      <w:r w:rsidRPr="00D95741">
        <w:rPr>
          <w:lang w:eastAsia="en-AU"/>
        </w:rPr>
        <w:t>Your institution may have applications for registration, re-registration and course accreditation and re-accreditation assessed by TEQSA.  </w:t>
      </w:r>
    </w:p>
    <w:p w14:paraId="2806DDC9" w14:textId="77777777" w:rsidR="00C81293" w:rsidRPr="00D95741" w:rsidRDefault="00C81293" w:rsidP="00C81293">
      <w:pPr>
        <w:rPr>
          <w:rFonts w:ascii="Segoe UI" w:hAnsi="Segoe UI" w:cs="Segoe UI"/>
          <w:sz w:val="18"/>
          <w:szCs w:val="18"/>
          <w:lang w:eastAsia="en-AU"/>
        </w:rPr>
      </w:pPr>
      <w:r w:rsidRPr="00D95741">
        <w:rPr>
          <w:lang w:eastAsia="en-AU"/>
        </w:rPr>
        <w:t>Applicants TEQSA approved for registration, may be registered to deliver: </w:t>
      </w:r>
    </w:p>
    <w:p w14:paraId="2A773772" w14:textId="77777777" w:rsidR="00C81293" w:rsidRPr="00475A61" w:rsidRDefault="00C81293" w:rsidP="00C81293">
      <w:pPr>
        <w:pStyle w:val="ListParagraph"/>
        <w:numPr>
          <w:ilvl w:val="0"/>
          <w:numId w:val="27"/>
        </w:numPr>
        <w:rPr>
          <w:lang w:eastAsia="en-AU"/>
        </w:rPr>
      </w:pPr>
      <w:r w:rsidRPr="00D95741">
        <w:rPr>
          <w:lang w:eastAsia="en-AU"/>
        </w:rPr>
        <w:t>higher education under the </w:t>
      </w:r>
      <w:hyperlink r:id="rId36" w:tgtFrame="_blank" w:history="1">
        <w:r w:rsidRPr="00475A61">
          <w:rPr>
            <w:i/>
            <w:iCs/>
            <w:color w:val="003E64"/>
            <w:u w:val="single"/>
            <w:lang w:eastAsia="en-AU"/>
          </w:rPr>
          <w:t>Tertiary Education Quality and Standards Act 2011</w:t>
        </w:r>
      </w:hyperlink>
      <w:r w:rsidRPr="00D95741">
        <w:rPr>
          <w:lang w:eastAsia="en-AU"/>
        </w:rPr>
        <w:t> (TEQSA Act), and/or </w:t>
      </w:r>
    </w:p>
    <w:p w14:paraId="3A96D892" w14:textId="77777777" w:rsidR="00C81293" w:rsidRPr="00475A61" w:rsidRDefault="00C81293" w:rsidP="00C81293">
      <w:pPr>
        <w:pStyle w:val="ListParagraph"/>
        <w:numPr>
          <w:ilvl w:val="0"/>
          <w:numId w:val="27"/>
        </w:numPr>
        <w:rPr>
          <w:lang w:eastAsia="en-AU"/>
        </w:rPr>
      </w:pPr>
      <w:r w:rsidRPr="46E22C0C">
        <w:rPr>
          <w:lang w:eastAsia="en-AU"/>
        </w:rPr>
        <w:t>courses to overseas students under the </w:t>
      </w:r>
      <w:hyperlink r:id="rId37">
        <w:r w:rsidRPr="46E22C0C">
          <w:rPr>
            <w:i/>
            <w:iCs/>
            <w:color w:val="003E64"/>
            <w:u w:val="single"/>
            <w:lang w:eastAsia="en-AU"/>
          </w:rPr>
          <w:t>Education Services for Overseas Students Act 2000</w:t>
        </w:r>
      </w:hyperlink>
      <w:r w:rsidRPr="46E22C0C">
        <w:rPr>
          <w:lang w:eastAsia="en-AU"/>
        </w:rPr>
        <w:t> (ESOS Act) including English language (ELICOS) and Foundation Programs. </w:t>
      </w:r>
    </w:p>
    <w:p w14:paraId="47FF2FCE" w14:textId="77777777" w:rsidR="00C81293" w:rsidRPr="00D95741" w:rsidRDefault="00C81293" w:rsidP="00C81293">
      <w:pPr>
        <w:rPr>
          <w:rFonts w:ascii="Segoe UI" w:hAnsi="Segoe UI" w:cs="Segoe UI"/>
          <w:sz w:val="18"/>
          <w:szCs w:val="18"/>
          <w:lang w:eastAsia="en-AU"/>
        </w:rPr>
      </w:pPr>
      <w:r w:rsidRPr="00D95741">
        <w:rPr>
          <w:lang w:eastAsia="en-AU"/>
        </w:rPr>
        <w:t>If your institution is registered to deliver higher education, it will be listed on the </w:t>
      </w:r>
      <w:hyperlink r:id="rId38" w:tgtFrame="_blank" w:history="1">
        <w:r w:rsidRPr="00D95741">
          <w:rPr>
            <w:color w:val="003E64"/>
            <w:u w:val="single"/>
            <w:lang w:eastAsia="en-AU"/>
          </w:rPr>
          <w:t>National Register of Higher Education Providers</w:t>
        </w:r>
      </w:hyperlink>
      <w:r w:rsidRPr="00D95741">
        <w:rPr>
          <w:lang w:eastAsia="en-AU"/>
        </w:rPr>
        <w:t> as required under the TEQSA Act. </w:t>
      </w:r>
    </w:p>
    <w:p w14:paraId="23D9D8B7" w14:textId="77777777" w:rsidR="00C81293" w:rsidRPr="00D95741" w:rsidRDefault="00C81293" w:rsidP="00C81293">
      <w:pPr>
        <w:rPr>
          <w:rFonts w:ascii="Segoe UI" w:hAnsi="Segoe UI" w:cs="Segoe UI"/>
          <w:sz w:val="18"/>
          <w:szCs w:val="18"/>
          <w:lang w:eastAsia="en-AU"/>
        </w:rPr>
      </w:pPr>
      <w:r w:rsidRPr="00D95741">
        <w:rPr>
          <w:lang w:eastAsia="en-AU"/>
        </w:rPr>
        <w:t>If your institution is registered to deliver courses of study to overseas students, it will be registered on the </w:t>
      </w:r>
      <w:hyperlink r:id="rId39" w:tgtFrame="_blank" w:history="1">
        <w:r w:rsidRPr="00D95741">
          <w:rPr>
            <w:color w:val="003E64"/>
            <w:u w:val="single"/>
            <w:lang w:eastAsia="en-AU"/>
          </w:rPr>
          <w:t>Commonwealth Register of Institutions and Courses for Overseas Students</w:t>
        </w:r>
      </w:hyperlink>
      <w:r w:rsidRPr="00D95741">
        <w:rPr>
          <w:lang w:eastAsia="en-AU"/>
        </w:rPr>
        <w:t> (CRICOS) under the ESOS Act. </w:t>
      </w:r>
    </w:p>
    <w:p w14:paraId="775BA704" w14:textId="77777777" w:rsidR="00C81293" w:rsidRPr="00D95741" w:rsidRDefault="00C81293" w:rsidP="00C81293">
      <w:pPr>
        <w:rPr>
          <w:rFonts w:ascii="Segoe UI" w:hAnsi="Segoe UI" w:cs="Segoe UI"/>
          <w:sz w:val="18"/>
          <w:szCs w:val="18"/>
          <w:lang w:eastAsia="en-AU"/>
        </w:rPr>
      </w:pPr>
      <w:r w:rsidRPr="00D95741">
        <w:rPr>
          <w:lang w:eastAsia="en-AU"/>
        </w:rPr>
        <w:t>As part of your relationship with TEQSA, it is likely that you will discuss matters regarding regulatory requirements with us, including: </w:t>
      </w:r>
    </w:p>
    <w:p w14:paraId="122329AF" w14:textId="77777777" w:rsidR="00C81293" w:rsidRPr="00475A61" w:rsidRDefault="00C81293" w:rsidP="00C81293">
      <w:pPr>
        <w:pStyle w:val="ListParagraph"/>
        <w:numPr>
          <w:ilvl w:val="0"/>
          <w:numId w:val="28"/>
        </w:numPr>
        <w:rPr>
          <w:lang w:eastAsia="en-AU"/>
        </w:rPr>
      </w:pPr>
      <w:r w:rsidRPr="46E22C0C">
        <w:rPr>
          <w:lang w:eastAsia="en-AU"/>
        </w:rPr>
        <w:t>the assessment of your institution’s application for renewal of registration under the TEQSA or ESOS Acts, </w:t>
      </w:r>
    </w:p>
    <w:p w14:paraId="6A02E155" w14:textId="77777777" w:rsidR="00C81293" w:rsidRPr="00475A61" w:rsidRDefault="00C81293" w:rsidP="00C81293">
      <w:pPr>
        <w:pStyle w:val="ListParagraph"/>
        <w:numPr>
          <w:ilvl w:val="0"/>
          <w:numId w:val="28"/>
        </w:numPr>
        <w:rPr>
          <w:lang w:eastAsia="en-AU"/>
        </w:rPr>
      </w:pPr>
      <w:r w:rsidRPr="46E22C0C">
        <w:rPr>
          <w:lang w:eastAsia="en-AU"/>
        </w:rPr>
        <w:t>the assessment of applications for course accreditation and renewal of course accreditation, </w:t>
      </w:r>
    </w:p>
    <w:p w14:paraId="0B8B7404" w14:textId="77777777" w:rsidR="00C81293" w:rsidRPr="00475A61" w:rsidRDefault="00C81293" w:rsidP="00C81293">
      <w:pPr>
        <w:pStyle w:val="ListParagraph"/>
        <w:numPr>
          <w:ilvl w:val="0"/>
          <w:numId w:val="28"/>
        </w:numPr>
        <w:rPr>
          <w:lang w:eastAsia="en-AU"/>
        </w:rPr>
      </w:pPr>
      <w:r w:rsidRPr="750FA8F6">
        <w:rPr>
          <w:lang w:eastAsia="en-AU"/>
        </w:rPr>
        <w:t>material change notifications of matters that may impact on your institution’s capacity to continue to comply with the </w:t>
      </w:r>
      <w:hyperlink r:id="rId40">
        <w:r w:rsidRPr="750FA8F6">
          <w:rPr>
            <w:i/>
            <w:iCs/>
            <w:color w:val="003E64"/>
            <w:u w:val="single"/>
            <w:lang w:eastAsia="en-AU"/>
          </w:rPr>
          <w:t>Higher Education Standards Framework (Threshold Standards) 2021</w:t>
        </w:r>
      </w:hyperlink>
      <w:r w:rsidRPr="750FA8F6">
        <w:rPr>
          <w:lang w:eastAsia="en-AU"/>
        </w:rPr>
        <w:t>,</w:t>
      </w:r>
    </w:p>
    <w:p w14:paraId="7FEE73C6" w14:textId="77777777" w:rsidR="00C81293" w:rsidRPr="00475A61" w:rsidRDefault="00C81293" w:rsidP="00C81293">
      <w:pPr>
        <w:pStyle w:val="ListParagraph"/>
        <w:numPr>
          <w:ilvl w:val="0"/>
          <w:numId w:val="28"/>
        </w:numPr>
        <w:rPr>
          <w:lang w:eastAsia="en-AU"/>
        </w:rPr>
      </w:pPr>
      <w:r w:rsidRPr="46E22C0C">
        <w:rPr>
          <w:lang w:eastAsia="en-AU"/>
        </w:rPr>
        <w:t>requests for information for regulatory compliance and quality assessment purposes, </w:t>
      </w:r>
    </w:p>
    <w:p w14:paraId="79DC6737" w14:textId="77777777" w:rsidR="00C81293" w:rsidRPr="00475A61" w:rsidRDefault="00C81293" w:rsidP="00C81293">
      <w:pPr>
        <w:pStyle w:val="ListParagraph"/>
        <w:numPr>
          <w:ilvl w:val="0"/>
          <w:numId w:val="28"/>
        </w:numPr>
        <w:rPr>
          <w:lang w:eastAsia="en-AU"/>
        </w:rPr>
      </w:pPr>
      <w:r w:rsidRPr="00D95741">
        <w:rPr>
          <w:lang w:eastAsia="en-AU"/>
        </w:rPr>
        <w:t>your institution’s ongoing compliance with both the TEQSA and/or ESOS Acts. </w:t>
      </w:r>
    </w:p>
    <w:p w14:paraId="1770A597" w14:textId="77777777" w:rsidR="00C81293" w:rsidRPr="00D95741" w:rsidRDefault="00C81293" w:rsidP="00C81293">
      <w:pPr>
        <w:rPr>
          <w:rFonts w:ascii="Segoe UI" w:hAnsi="Segoe UI" w:cs="Segoe UI"/>
          <w:sz w:val="18"/>
          <w:szCs w:val="18"/>
          <w:lang w:eastAsia="en-AU"/>
        </w:rPr>
      </w:pPr>
      <w:r w:rsidRPr="00D95741">
        <w:rPr>
          <w:lang w:eastAsia="en-AU"/>
        </w:rPr>
        <w:t>All registered higher education providers are provided with information about a contact point for questions about regulatory matters. Any regulatory queries should be directed to the contact point unless you have been informed otherwise. </w:t>
      </w:r>
    </w:p>
    <w:p w14:paraId="578D4807" w14:textId="77777777" w:rsidR="00C81293" w:rsidRPr="00D95741" w:rsidRDefault="00C81293" w:rsidP="00C81293">
      <w:pPr>
        <w:rPr>
          <w:rFonts w:ascii="Segoe UI" w:hAnsi="Segoe UI" w:cs="Segoe UI"/>
          <w:sz w:val="18"/>
          <w:szCs w:val="18"/>
          <w:lang w:eastAsia="en-AU"/>
        </w:rPr>
      </w:pPr>
      <w:r w:rsidRPr="00D95741">
        <w:rPr>
          <w:lang w:eastAsia="en-AU"/>
        </w:rPr>
        <w:t xml:space="preserve">If you are uncertain about the details of your contact point, you can </w:t>
      </w:r>
      <w:hyperlink r:id="rId41" w:tgtFrame="_blank" w:history="1">
        <w:r w:rsidRPr="00D95741">
          <w:rPr>
            <w:color w:val="004E7D"/>
            <w:u w:val="single"/>
            <w:lang w:eastAsia="en-AU"/>
          </w:rPr>
          <w:t>complete our online enquiry form</w:t>
        </w:r>
      </w:hyperlink>
      <w:r w:rsidRPr="00D95741">
        <w:rPr>
          <w:lang w:eastAsia="en-AU"/>
        </w:rPr>
        <w:t> for it to be directed to the relevant team. </w:t>
      </w:r>
    </w:p>
    <w:p w14:paraId="62111AE5" w14:textId="77777777" w:rsidR="00C81293" w:rsidRPr="00D95741" w:rsidRDefault="00C81293" w:rsidP="00C81293">
      <w:pPr>
        <w:rPr>
          <w:rFonts w:ascii="Segoe UI" w:hAnsi="Segoe UI" w:cs="Segoe UI"/>
          <w:sz w:val="18"/>
          <w:szCs w:val="18"/>
          <w:lang w:eastAsia="en-AU"/>
        </w:rPr>
      </w:pPr>
      <w:r w:rsidRPr="750FA8F6">
        <w:rPr>
          <w:lang w:eastAsia="en-AU"/>
        </w:rPr>
        <w:t>In order to answer your query accurately and fully, we may need to discuss our timeframe for responding to you. In doing this, we will always seek to be fair and reasonable. </w:t>
      </w:r>
    </w:p>
    <w:p w14:paraId="4541A1AD" w14:textId="77777777" w:rsidR="00C81293" w:rsidRPr="00D95741" w:rsidRDefault="00C81293" w:rsidP="00C81293">
      <w:pPr>
        <w:rPr>
          <w:rFonts w:ascii="Segoe UI" w:hAnsi="Segoe UI" w:cs="Segoe UI"/>
          <w:sz w:val="18"/>
          <w:szCs w:val="18"/>
          <w:lang w:eastAsia="en-AU"/>
        </w:rPr>
      </w:pPr>
      <w:r w:rsidRPr="750FA8F6">
        <w:rPr>
          <w:lang w:eastAsia="en-AU"/>
        </w:rPr>
        <w:t>You can expect that in addition to our general principles of good service, officers responding to you will seek to resolve your issues as quickly as possible or explain why this may take more time. </w:t>
      </w:r>
    </w:p>
    <w:p w14:paraId="01E44590" w14:textId="77777777" w:rsidR="00C81293" w:rsidRPr="00D95741" w:rsidRDefault="00C81293" w:rsidP="00C81293">
      <w:pPr>
        <w:rPr>
          <w:rFonts w:ascii="Segoe UI" w:hAnsi="Segoe UI" w:cs="Segoe UI"/>
          <w:sz w:val="18"/>
          <w:szCs w:val="18"/>
          <w:lang w:eastAsia="en-AU"/>
        </w:rPr>
      </w:pPr>
      <w:r w:rsidRPr="750FA8F6">
        <w:rPr>
          <w:lang w:eastAsia="en-AU"/>
        </w:rPr>
        <w:t>To assist us in providing you with a timely service, we ask that you: </w:t>
      </w:r>
    </w:p>
    <w:p w14:paraId="2D4D6561" w14:textId="77777777" w:rsidR="00C81293" w:rsidRPr="00D95741" w:rsidRDefault="00C81293" w:rsidP="00C81293">
      <w:pPr>
        <w:pStyle w:val="ListParagraph"/>
        <w:numPr>
          <w:ilvl w:val="0"/>
          <w:numId w:val="26"/>
        </w:numPr>
        <w:rPr>
          <w:lang w:eastAsia="en-AU"/>
        </w:rPr>
      </w:pPr>
      <w:r w:rsidRPr="46E22C0C">
        <w:rPr>
          <w:lang w:eastAsia="en-AU"/>
        </w:rPr>
        <w:t>have your documentation or reference numbers ready when you contact us, </w:t>
      </w:r>
    </w:p>
    <w:p w14:paraId="0D36F955" w14:textId="77777777" w:rsidR="00C81293" w:rsidRPr="00D95741" w:rsidRDefault="00C81293" w:rsidP="00C81293">
      <w:pPr>
        <w:pStyle w:val="ListParagraph"/>
        <w:numPr>
          <w:ilvl w:val="0"/>
          <w:numId w:val="26"/>
        </w:numPr>
        <w:rPr>
          <w:lang w:eastAsia="en-AU"/>
        </w:rPr>
      </w:pPr>
      <w:r w:rsidRPr="750FA8F6">
        <w:rPr>
          <w:lang w:eastAsia="en-AU"/>
        </w:rPr>
        <w:t>fulfil your regulatory, financial, and other obligations to TEQSA within stipulated timeframes. </w:t>
      </w:r>
    </w:p>
    <w:p w14:paraId="1107FA1D" w14:textId="77777777" w:rsidR="00C81293" w:rsidRPr="00D95741" w:rsidRDefault="00C81293" w:rsidP="00C81293">
      <w:pPr>
        <w:spacing w:after="0" w:afterAutospacing="1"/>
        <w:textAlignment w:val="baseline"/>
        <w:rPr>
          <w:rFonts w:ascii="Segoe UI" w:eastAsia="Times New Roman" w:hAnsi="Segoe UI" w:cs="Segoe UI"/>
          <w:sz w:val="18"/>
          <w:szCs w:val="18"/>
          <w:lang w:eastAsia="en-AU"/>
        </w:rPr>
      </w:pPr>
      <w:r w:rsidRPr="00D95741">
        <w:rPr>
          <w:rFonts w:ascii="Arial" w:eastAsia="Times New Roman" w:hAnsi="Arial" w:cs="Arial"/>
          <w:color w:val="004D7D"/>
          <w:sz w:val="36"/>
          <w:szCs w:val="36"/>
          <w:lang w:eastAsia="en-AU"/>
        </w:rPr>
        <w:lastRenderedPageBreak/>
        <w:t>Prospective higher education, ELICOS or Foundation Program providers </w:t>
      </w:r>
    </w:p>
    <w:p w14:paraId="7A12E1E7" w14:textId="77777777" w:rsidR="00C81293" w:rsidRPr="00E0590F" w:rsidRDefault="00C81293" w:rsidP="00C81293">
      <w:pPr>
        <w:spacing w:after="0" w:afterAutospacing="1"/>
        <w:textAlignment w:val="baseline"/>
        <w:rPr>
          <w:rFonts w:ascii="Segoe UI" w:eastAsia="Times New Roman" w:hAnsi="Segoe UI" w:cs="Segoe UI"/>
          <w:lang w:eastAsia="en-AU"/>
        </w:rPr>
      </w:pPr>
      <w:r w:rsidRPr="750FA8F6">
        <w:rPr>
          <w:rFonts w:ascii="Arial" w:eastAsia="Times New Roman" w:hAnsi="Arial" w:cs="Arial"/>
          <w:lang w:eastAsia="en-AU"/>
        </w:rPr>
        <w:t>If your institution is seeking to become a higher education provider, offer ELICOS or Foundation Program courses to overseas students, please view the </w:t>
      </w:r>
      <w:hyperlink r:id="rId42" w:history="1">
        <w:r>
          <w:rPr>
            <w:rStyle w:val="Hyperlink"/>
            <w:rFonts w:ascii="Arial" w:eastAsia="Times New Roman" w:hAnsi="Arial" w:cs="Arial"/>
            <w:lang w:eastAsia="en-AU"/>
          </w:rPr>
          <w:t>Application forms and support page</w:t>
        </w:r>
      </w:hyperlink>
      <w:r w:rsidRPr="750FA8F6">
        <w:rPr>
          <w:rFonts w:ascii="Arial" w:eastAsia="Times New Roman" w:hAnsi="Arial" w:cs="Arial"/>
          <w:lang w:eastAsia="en-AU"/>
        </w:rPr>
        <w:t> for more information about the registration and accreditation processes. </w:t>
      </w:r>
    </w:p>
    <w:p w14:paraId="41716409" w14:textId="77777777" w:rsidR="00C81293" w:rsidRPr="00E0590F" w:rsidRDefault="00C81293" w:rsidP="00C81293">
      <w:pPr>
        <w:spacing w:after="0" w:afterAutospacing="1"/>
        <w:textAlignment w:val="baseline"/>
        <w:rPr>
          <w:rFonts w:ascii="Segoe UI" w:eastAsia="Times New Roman" w:hAnsi="Segoe UI" w:cs="Segoe UI"/>
          <w:lang w:eastAsia="en-AU"/>
        </w:rPr>
      </w:pPr>
      <w:r w:rsidRPr="03FA764F">
        <w:rPr>
          <w:rFonts w:ascii="Arial" w:eastAsia="Times New Roman" w:hAnsi="Arial" w:cs="Arial"/>
          <w:lang w:eastAsia="en-AU"/>
        </w:rPr>
        <w:t>Overseas providers interested in delivering higher education in Australia can find more information from </w:t>
      </w:r>
      <w:hyperlink r:id="rId43">
        <w:r w:rsidRPr="03FA764F">
          <w:rPr>
            <w:rFonts w:ascii="Arial" w:eastAsia="Times New Roman" w:hAnsi="Arial" w:cs="Arial"/>
            <w:u w:val="single"/>
            <w:lang w:eastAsia="en-AU"/>
          </w:rPr>
          <w:t>our FAQs page</w:t>
        </w:r>
      </w:hyperlink>
      <w:r w:rsidRPr="03FA764F">
        <w:rPr>
          <w:rFonts w:ascii="Arial" w:eastAsia="Times New Roman" w:hAnsi="Arial" w:cs="Arial"/>
          <w:lang w:eastAsia="en-AU"/>
        </w:rPr>
        <w:t>. </w:t>
      </w:r>
    </w:p>
    <w:p w14:paraId="361796B2" w14:textId="77777777" w:rsidR="00C81293" w:rsidRPr="00E0590F" w:rsidRDefault="00C81293" w:rsidP="00C81293">
      <w:pPr>
        <w:spacing w:after="0" w:afterAutospacing="1"/>
        <w:textAlignment w:val="baseline"/>
        <w:rPr>
          <w:rFonts w:ascii="Segoe UI" w:eastAsia="Times New Roman" w:hAnsi="Segoe UI" w:cs="Segoe UI"/>
          <w:lang w:eastAsia="en-AU"/>
        </w:rPr>
      </w:pPr>
      <w:r w:rsidRPr="750FA8F6">
        <w:rPr>
          <w:rFonts w:ascii="Arial" w:eastAsia="Times New Roman" w:hAnsi="Arial" w:cs="Arial"/>
          <w:lang w:eastAsia="en-AU"/>
        </w:rPr>
        <w:t>As part of your relationship with TEQSA, it is likely that you will discuss matters regarding regulatory requirements with us, including: </w:t>
      </w:r>
    </w:p>
    <w:p w14:paraId="41FCF3F2" w14:textId="77777777" w:rsidR="00C81293" w:rsidRPr="005A60F9" w:rsidRDefault="00C81293" w:rsidP="00C81293">
      <w:pPr>
        <w:pStyle w:val="ListParagraph"/>
        <w:numPr>
          <w:ilvl w:val="0"/>
          <w:numId w:val="26"/>
        </w:numPr>
        <w:rPr>
          <w:lang w:eastAsia="en-AU"/>
        </w:rPr>
      </w:pPr>
      <w:r w:rsidRPr="005A60F9">
        <w:rPr>
          <w:lang w:eastAsia="en-AU"/>
        </w:rPr>
        <w:t>the assessment of your institution’s application for registration under the TEQSA or ESOS Acts, </w:t>
      </w:r>
    </w:p>
    <w:p w14:paraId="2027571E" w14:textId="77777777" w:rsidR="00C81293" w:rsidRPr="005A60F9" w:rsidRDefault="00C81293" w:rsidP="00C81293">
      <w:pPr>
        <w:pStyle w:val="ListParagraph"/>
        <w:numPr>
          <w:ilvl w:val="0"/>
          <w:numId w:val="26"/>
        </w:numPr>
        <w:spacing w:after="240"/>
        <w:ind w:left="714" w:hanging="357"/>
        <w:rPr>
          <w:lang w:eastAsia="en-AU"/>
        </w:rPr>
      </w:pPr>
      <w:r w:rsidRPr="005A60F9">
        <w:rPr>
          <w:lang w:eastAsia="en-AU"/>
        </w:rPr>
        <w:t>the assessment of applications for course accreditation. </w:t>
      </w:r>
    </w:p>
    <w:p w14:paraId="2045E953" w14:textId="77777777" w:rsidR="00C81293" w:rsidRPr="005A60F9" w:rsidRDefault="00C81293" w:rsidP="00C81293">
      <w:pPr>
        <w:spacing w:after="0" w:afterAutospacing="1"/>
        <w:textAlignment w:val="baseline"/>
        <w:rPr>
          <w:rFonts w:ascii="Arial" w:eastAsia="Times New Roman" w:hAnsi="Arial" w:cs="Arial"/>
          <w:color w:val="004D7D"/>
          <w:sz w:val="36"/>
          <w:szCs w:val="36"/>
          <w:lang w:eastAsia="en-AU"/>
        </w:rPr>
      </w:pPr>
      <w:r w:rsidRPr="00D95741">
        <w:rPr>
          <w:rFonts w:ascii="Arial" w:eastAsia="Times New Roman" w:hAnsi="Arial" w:cs="Arial"/>
          <w:color w:val="004D7D"/>
          <w:sz w:val="36"/>
          <w:szCs w:val="36"/>
          <w:lang w:eastAsia="en-AU"/>
        </w:rPr>
        <w:t xml:space="preserve">Students </w:t>
      </w:r>
    </w:p>
    <w:p w14:paraId="3514DD4F" w14:textId="77777777" w:rsidR="00C81293" w:rsidRPr="00E0590F" w:rsidRDefault="00C81293" w:rsidP="00C81293">
      <w:pPr>
        <w:spacing w:after="0" w:afterAutospacing="1"/>
        <w:textAlignment w:val="baseline"/>
        <w:rPr>
          <w:rFonts w:ascii="Segoe UI" w:eastAsia="Times New Roman" w:hAnsi="Segoe UI" w:cs="Segoe UI"/>
          <w:lang w:eastAsia="en-AU"/>
        </w:rPr>
      </w:pPr>
      <w:r w:rsidRPr="750FA8F6">
        <w:rPr>
          <w:rFonts w:ascii="Arial" w:eastAsia="Times New Roman" w:hAnsi="Arial" w:cs="Arial"/>
          <w:lang w:eastAsia="en-AU"/>
        </w:rPr>
        <w:t>If you have a general enquiry about the regulation or quality assurance of Australian higher education, you may find the information you need on our website. Our website has information about TEQSA and the legislation that we administer. It also has a specific section for students, which has information about how our work protects students undertaking, or proposing to undertake, Australian higher education. Find out more from the </w:t>
      </w:r>
      <w:hyperlink r:id="rId44">
        <w:r w:rsidRPr="750FA8F6">
          <w:rPr>
            <w:rFonts w:ascii="Arial" w:eastAsia="Times New Roman" w:hAnsi="Arial" w:cs="Arial"/>
            <w:u w:val="single"/>
            <w:lang w:eastAsia="en-AU"/>
          </w:rPr>
          <w:t>Students section of our website</w:t>
        </w:r>
      </w:hyperlink>
      <w:r w:rsidRPr="750FA8F6">
        <w:rPr>
          <w:rFonts w:ascii="Arial" w:eastAsia="Times New Roman" w:hAnsi="Arial" w:cs="Arial"/>
          <w:lang w:eastAsia="en-AU"/>
        </w:rPr>
        <w:t>. </w:t>
      </w:r>
    </w:p>
    <w:p w14:paraId="7C7AF676" w14:textId="77777777" w:rsidR="00C81293" w:rsidRPr="00E0590F" w:rsidRDefault="00C81293" w:rsidP="00C81293">
      <w:pPr>
        <w:spacing w:after="0" w:afterAutospacing="1"/>
        <w:textAlignment w:val="baseline"/>
        <w:rPr>
          <w:rFonts w:ascii="Segoe UI" w:eastAsia="Times New Roman" w:hAnsi="Segoe UI" w:cs="Segoe UI"/>
          <w:lang w:eastAsia="en-AU"/>
        </w:rPr>
      </w:pPr>
      <w:r w:rsidRPr="4D33F2B1">
        <w:rPr>
          <w:rFonts w:ascii="Arial" w:eastAsia="Times New Roman" w:hAnsi="Arial" w:cs="Arial"/>
          <w:lang w:eastAsia="en-AU"/>
        </w:rPr>
        <w:t xml:space="preserve">If you cannot find the information you need on our website, you can </w:t>
      </w:r>
      <w:hyperlink r:id="rId45" w:history="1">
        <w:r w:rsidRPr="4D33F2B1">
          <w:rPr>
            <w:rFonts w:ascii="Arial" w:eastAsia="Times New Roman" w:hAnsi="Arial" w:cs="Arial"/>
            <w:u w:val="single"/>
            <w:lang w:eastAsia="en-AU"/>
          </w:rPr>
          <w:t>complete our online enquiry form</w:t>
        </w:r>
      </w:hyperlink>
      <w:r w:rsidRPr="4D33F2B1">
        <w:rPr>
          <w:rFonts w:ascii="Arial" w:eastAsia="Times New Roman" w:hAnsi="Arial" w:cs="Arial"/>
          <w:lang w:eastAsia="en-AU"/>
        </w:rPr>
        <w:t>. </w:t>
      </w:r>
    </w:p>
    <w:p w14:paraId="144E1A1C" w14:textId="77777777" w:rsidR="00C81293" w:rsidRPr="00E0590F" w:rsidRDefault="00C81293" w:rsidP="00C81293">
      <w:pPr>
        <w:spacing w:after="0" w:afterAutospacing="1"/>
        <w:textAlignment w:val="baseline"/>
        <w:rPr>
          <w:rFonts w:ascii="Segoe UI" w:eastAsia="Times New Roman" w:hAnsi="Segoe UI" w:cs="Segoe UI"/>
          <w:lang w:eastAsia="en-AU"/>
        </w:rPr>
      </w:pPr>
      <w:r w:rsidRPr="46E22C0C">
        <w:rPr>
          <w:rFonts w:ascii="Arial" w:eastAsia="Times New Roman" w:hAnsi="Arial" w:cs="Arial"/>
          <w:lang w:eastAsia="en-AU"/>
        </w:rPr>
        <w:t>We may need to discuss our response date with you depending on the complexity of your query. In doing this, we will always seek to be fair and reasonable. </w:t>
      </w:r>
    </w:p>
    <w:p w14:paraId="134C66C9" w14:textId="77777777" w:rsidR="00C81293" w:rsidRPr="00D95741" w:rsidRDefault="00C81293" w:rsidP="00C81293">
      <w:pPr>
        <w:spacing w:after="0" w:afterAutospacing="1"/>
        <w:textAlignment w:val="baseline"/>
        <w:rPr>
          <w:rFonts w:ascii="Segoe UI" w:eastAsia="Times New Roman" w:hAnsi="Segoe UI" w:cs="Segoe UI"/>
          <w:sz w:val="18"/>
          <w:szCs w:val="18"/>
          <w:lang w:eastAsia="en-AU"/>
        </w:rPr>
      </w:pPr>
      <w:r w:rsidRPr="00D95741">
        <w:rPr>
          <w:rFonts w:ascii="Arial" w:eastAsia="Times New Roman" w:hAnsi="Arial" w:cs="Arial"/>
          <w:color w:val="004D7D"/>
          <w:sz w:val="42"/>
          <w:szCs w:val="42"/>
          <w:lang w:eastAsia="en-AU"/>
        </w:rPr>
        <w:t>Concerns about higher education, ELICOS or Foundation Program providers </w:t>
      </w:r>
    </w:p>
    <w:p w14:paraId="750FF2DA" w14:textId="77777777" w:rsidR="00C81293" w:rsidRPr="00E0590F" w:rsidRDefault="00C81293" w:rsidP="00C81293">
      <w:pPr>
        <w:spacing w:after="0" w:afterAutospacing="1"/>
        <w:textAlignment w:val="baseline"/>
        <w:rPr>
          <w:rFonts w:ascii="Segoe UI" w:eastAsia="Times New Roman" w:hAnsi="Segoe UI" w:cs="Segoe UI"/>
          <w:lang w:eastAsia="en-AU"/>
        </w:rPr>
      </w:pPr>
      <w:r w:rsidRPr="00E0590F">
        <w:rPr>
          <w:rFonts w:ascii="Arial" w:eastAsia="Times New Roman" w:hAnsi="Arial" w:cs="Arial"/>
          <w:lang w:eastAsia="en-AU"/>
        </w:rPr>
        <w:t>We accept concerns about Australian higher education providers and other entities we regulate (providers of Foundation Programs, ELICOS providers and ESOS registered providers). We accept concerns to gather information that assists us in the regulation and quality assurance of the sector. </w:t>
      </w:r>
    </w:p>
    <w:p w14:paraId="7FE47A1F" w14:textId="77777777" w:rsidR="00C81293" w:rsidRDefault="00C81293" w:rsidP="00C81293">
      <w:pPr>
        <w:spacing w:after="0" w:afterAutospacing="1"/>
        <w:textAlignment w:val="baseline"/>
        <w:rPr>
          <w:rFonts w:ascii="Arial" w:eastAsia="Times New Roman" w:hAnsi="Arial" w:cs="Arial"/>
          <w:lang w:eastAsia="en-AU"/>
        </w:rPr>
      </w:pPr>
      <w:r w:rsidRPr="00E0590F">
        <w:rPr>
          <w:rFonts w:ascii="Arial" w:eastAsia="Times New Roman" w:hAnsi="Arial" w:cs="Arial"/>
          <w:lang w:eastAsia="en-AU"/>
        </w:rPr>
        <w:t>However, we can only accept certain types of concerns. Further details on the types of concerns we can accept is available from the </w:t>
      </w:r>
      <w:hyperlink r:id="rId46" w:tgtFrame="_blank" w:history="1">
        <w:r w:rsidRPr="00E0590F">
          <w:rPr>
            <w:rFonts w:ascii="Arial" w:eastAsia="Times New Roman" w:hAnsi="Arial" w:cs="Arial"/>
            <w:u w:val="single"/>
            <w:lang w:eastAsia="en-AU"/>
          </w:rPr>
          <w:t>Concerns section of our website</w:t>
        </w:r>
      </w:hyperlink>
      <w:r w:rsidRPr="00E0590F">
        <w:rPr>
          <w:rFonts w:ascii="Arial" w:eastAsia="Times New Roman" w:hAnsi="Arial" w:cs="Arial"/>
          <w:lang w:eastAsia="en-AU"/>
        </w:rPr>
        <w:t>. </w:t>
      </w:r>
    </w:p>
    <w:p w14:paraId="7B2DEADF" w14:textId="77777777" w:rsidR="00C81293" w:rsidRDefault="00C81293" w:rsidP="00C81293">
      <w:pPr>
        <w:rPr>
          <w:rFonts w:ascii="Arial" w:eastAsia="Times New Roman" w:hAnsi="Arial" w:cs="Arial"/>
          <w:lang w:eastAsia="en-AU"/>
        </w:rPr>
      </w:pPr>
      <w:r>
        <w:rPr>
          <w:rFonts w:ascii="Arial" w:eastAsia="Times New Roman" w:hAnsi="Arial" w:cs="Arial"/>
          <w:lang w:eastAsia="en-AU"/>
        </w:rPr>
        <w:br w:type="page"/>
      </w:r>
    </w:p>
    <w:p w14:paraId="2B9877B5" w14:textId="77777777" w:rsidR="00C81293" w:rsidRPr="00044AA4" w:rsidRDefault="00C81293" w:rsidP="00C81293">
      <w:pPr>
        <w:rPr>
          <w:rFonts w:ascii="Arial" w:eastAsia="Times New Roman" w:hAnsi="Arial" w:cs="Arial"/>
          <w:color w:val="004D7D"/>
          <w:sz w:val="42"/>
          <w:szCs w:val="42"/>
          <w:lang w:eastAsia="en-AU"/>
        </w:rPr>
      </w:pPr>
      <w:r w:rsidRPr="00044AA4">
        <w:rPr>
          <w:rFonts w:ascii="Arial" w:eastAsia="Times New Roman" w:hAnsi="Arial" w:cs="Arial"/>
          <w:color w:val="004D7D"/>
          <w:sz w:val="42"/>
          <w:szCs w:val="42"/>
          <w:lang w:eastAsia="en-AU"/>
        </w:rPr>
        <w:lastRenderedPageBreak/>
        <w:t>Appendix B</w:t>
      </w:r>
    </w:p>
    <w:p w14:paraId="133516A0" w14:textId="77777777" w:rsidR="00C81293" w:rsidRPr="00D95741" w:rsidRDefault="00C81293" w:rsidP="00C81293">
      <w:pPr>
        <w:pStyle w:val="Heading2"/>
        <w:spacing w:afterAutospacing="1"/>
        <w:rPr>
          <w:rFonts w:ascii="Segoe UI" w:eastAsia="Times New Roman" w:hAnsi="Segoe UI" w:cs="Segoe UI"/>
          <w:color w:val="000000"/>
          <w:sz w:val="18"/>
          <w:szCs w:val="18"/>
          <w:lang w:eastAsia="en-AU"/>
        </w:rPr>
      </w:pPr>
      <w:r w:rsidRPr="750FA8F6">
        <w:rPr>
          <w:rFonts w:eastAsia="Times New Roman"/>
          <w:lang w:eastAsia="en-AU"/>
        </w:rPr>
        <w:t>Timeframes for regulatory decisions</w:t>
      </w:r>
    </w:p>
    <w:p w14:paraId="76B1B09E" w14:textId="77777777" w:rsidR="00C81293" w:rsidRPr="0056263E" w:rsidRDefault="00C81293" w:rsidP="00C81293">
      <w:pPr>
        <w:shd w:val="clear" w:color="auto" w:fill="FFFFFF" w:themeFill="background1"/>
        <w:spacing w:after="0" w:afterAutospacing="1"/>
        <w:textAlignment w:val="baseline"/>
        <w:rPr>
          <w:rFonts w:ascii="Arial" w:eastAsia="Times New Roman" w:hAnsi="Arial" w:cs="Arial"/>
          <w:lang w:eastAsia="en-AU"/>
        </w:rPr>
      </w:pPr>
      <w:r w:rsidRPr="46E22C0C">
        <w:rPr>
          <w:rFonts w:ascii="Arial" w:eastAsia="Times New Roman" w:hAnsi="Arial" w:cs="Arial"/>
          <w:lang w:eastAsia="en-AU"/>
        </w:rPr>
        <w:t xml:space="preserve">The </w:t>
      </w:r>
      <w:hyperlink r:id="rId47" w:history="1">
        <w:r w:rsidRPr="0034680E">
          <w:rPr>
            <w:rStyle w:val="Hyperlink"/>
            <w:i/>
            <w:iCs/>
          </w:rPr>
          <w:t>Tertiary Education Quality and Standards Agency Act 2011</w:t>
        </w:r>
        <w:r w:rsidRPr="00835FDE">
          <w:rPr>
            <w:rStyle w:val="Hyperlink"/>
          </w:rPr>
          <w:t xml:space="preserve"> (</w:t>
        </w:r>
        <w:r w:rsidRPr="00835FDE">
          <w:rPr>
            <w:rStyle w:val="Hyperlink"/>
            <w:rFonts w:ascii="Arial" w:eastAsia="Times New Roman" w:hAnsi="Arial" w:cs="Arial"/>
            <w:lang w:eastAsia="en-AU"/>
          </w:rPr>
          <w:t>TEQSA Act)</w:t>
        </w:r>
      </w:hyperlink>
      <w:r w:rsidRPr="46E22C0C">
        <w:rPr>
          <w:rFonts w:ascii="Arial" w:eastAsia="Times New Roman" w:hAnsi="Arial" w:cs="Arial"/>
          <w:lang w:eastAsia="en-AU"/>
        </w:rPr>
        <w:t xml:space="preserve"> sets out requirements for the time that we take to make, and </w:t>
      </w:r>
      <w:r>
        <w:rPr>
          <w:rFonts w:ascii="Arial" w:eastAsia="Times New Roman" w:hAnsi="Arial" w:cs="Arial"/>
          <w:lang w:eastAsia="en-AU"/>
        </w:rPr>
        <w:t>inform</w:t>
      </w:r>
      <w:r w:rsidRPr="46E22C0C">
        <w:rPr>
          <w:rFonts w:ascii="Arial" w:eastAsia="Times New Roman" w:hAnsi="Arial" w:cs="Arial"/>
          <w:lang w:eastAsia="en-AU"/>
        </w:rPr>
        <w:t xml:space="preserve"> parties of, regulatory decisions about applications for registration and course accreditation. Timeframes applying to our work in making regulatory decisions are summarised below.</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1"/>
        <w:gridCol w:w="5785"/>
      </w:tblGrid>
      <w:tr w:rsidR="00C81293" w:rsidRPr="00D95741" w14:paraId="7A9FC310" w14:textId="77777777" w:rsidTr="005A3F0A">
        <w:trPr>
          <w:trHeight w:val="330"/>
          <w:tblHeader/>
        </w:trPr>
        <w:tc>
          <w:tcPr>
            <w:tcW w:w="3421" w:type="dxa"/>
            <w:tcBorders>
              <w:top w:val="single" w:sz="6" w:space="0" w:color="auto"/>
              <w:left w:val="single" w:sz="6" w:space="0" w:color="auto"/>
              <w:bottom w:val="single" w:sz="6" w:space="0" w:color="auto"/>
              <w:right w:val="single" w:sz="6" w:space="0" w:color="auto"/>
            </w:tcBorders>
            <w:shd w:val="clear" w:color="auto" w:fill="004D7D"/>
            <w:hideMark/>
          </w:tcPr>
          <w:p w14:paraId="19D19BF4" w14:textId="77777777" w:rsidR="00C81293" w:rsidRPr="00E0590F" w:rsidRDefault="00C81293" w:rsidP="005A3F0A">
            <w:pPr>
              <w:spacing w:after="0" w:afterAutospacing="1"/>
              <w:textAlignment w:val="baseline"/>
              <w:rPr>
                <w:rFonts w:ascii="Times New Roman" w:eastAsia="Times New Roman" w:hAnsi="Times New Roman" w:cs="Times New Roman"/>
                <w:color w:val="FFFFFF" w:themeColor="background1"/>
                <w:sz w:val="24"/>
                <w:szCs w:val="24"/>
                <w:lang w:eastAsia="en-AU"/>
              </w:rPr>
            </w:pPr>
            <w:r w:rsidRPr="00E0590F">
              <w:rPr>
                <w:rFonts w:ascii="Arial" w:eastAsia="Times New Roman" w:hAnsi="Arial" w:cs="Arial"/>
                <w:b/>
                <w:bCs/>
                <w:color w:val="FFFFFF" w:themeColor="background1"/>
                <w:sz w:val="24"/>
                <w:szCs w:val="24"/>
                <w:lang w:eastAsia="en-AU"/>
              </w:rPr>
              <w:t>TEQSA’s activity</w:t>
            </w:r>
            <w:r w:rsidRPr="00E0590F">
              <w:rPr>
                <w:rFonts w:ascii="Arial" w:eastAsia="Times New Roman" w:hAnsi="Arial" w:cs="Arial"/>
                <w:color w:val="FFFFFF" w:themeColor="background1"/>
                <w:sz w:val="24"/>
                <w:szCs w:val="24"/>
                <w:lang w:eastAsia="en-AU"/>
              </w:rPr>
              <w:t> </w:t>
            </w:r>
          </w:p>
        </w:tc>
        <w:tc>
          <w:tcPr>
            <w:tcW w:w="5785" w:type="dxa"/>
            <w:tcBorders>
              <w:top w:val="single" w:sz="6" w:space="0" w:color="auto"/>
              <w:left w:val="single" w:sz="6" w:space="0" w:color="auto"/>
              <w:bottom w:val="single" w:sz="6" w:space="0" w:color="auto"/>
              <w:right w:val="single" w:sz="6" w:space="0" w:color="auto"/>
            </w:tcBorders>
            <w:shd w:val="clear" w:color="auto" w:fill="004D7D"/>
            <w:hideMark/>
          </w:tcPr>
          <w:p w14:paraId="1958B18A" w14:textId="77777777" w:rsidR="00C81293" w:rsidRPr="00E0590F" w:rsidRDefault="00C81293" w:rsidP="005A3F0A">
            <w:pPr>
              <w:spacing w:after="0" w:afterAutospacing="1"/>
              <w:textAlignment w:val="baseline"/>
              <w:rPr>
                <w:rFonts w:ascii="Times New Roman" w:eastAsia="Times New Roman" w:hAnsi="Times New Roman" w:cs="Times New Roman"/>
                <w:color w:val="FFFFFF" w:themeColor="background1"/>
                <w:sz w:val="24"/>
                <w:szCs w:val="24"/>
                <w:lang w:eastAsia="en-AU"/>
              </w:rPr>
            </w:pPr>
            <w:r w:rsidRPr="00E0590F">
              <w:rPr>
                <w:rFonts w:ascii="Arial" w:eastAsia="Times New Roman" w:hAnsi="Arial" w:cs="Arial"/>
                <w:b/>
                <w:bCs/>
                <w:color w:val="FFFFFF" w:themeColor="background1"/>
                <w:sz w:val="24"/>
                <w:szCs w:val="24"/>
                <w:lang w:eastAsia="en-AU"/>
              </w:rPr>
              <w:t>TEQSA Act timeframe to complete activity</w:t>
            </w:r>
          </w:p>
        </w:tc>
      </w:tr>
      <w:tr w:rsidR="00C81293" w:rsidRPr="00D95741" w14:paraId="3AADEBE0" w14:textId="77777777" w:rsidTr="005A3F0A">
        <w:trPr>
          <w:trHeight w:val="315"/>
        </w:trPr>
        <w:tc>
          <w:tcPr>
            <w:tcW w:w="342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0B2509"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02413550">
              <w:rPr>
                <w:rFonts w:ascii="Arial" w:eastAsia="Times New Roman" w:hAnsi="Arial" w:cs="Arial"/>
                <w:lang w:eastAsia="en-AU"/>
              </w:rPr>
              <w:t>Preliminary assessment of an application for initial registration </w:t>
            </w:r>
          </w:p>
        </w:tc>
        <w:tc>
          <w:tcPr>
            <w:tcW w:w="57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98BD95"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02413550">
              <w:rPr>
                <w:rFonts w:ascii="Arial" w:eastAsia="Times New Roman" w:hAnsi="Arial" w:cs="Arial"/>
                <w:lang w:eastAsia="en-AU"/>
              </w:rPr>
              <w:t>TEQSA must inform the applicant within 30 days of an application being made for registration in a particular category whether the application is appropriate for that category and, if not, what category would be appropriate. </w:t>
            </w:r>
          </w:p>
        </w:tc>
      </w:tr>
      <w:tr w:rsidR="00C81293" w:rsidRPr="00D95741" w14:paraId="54A1EF85" w14:textId="77777777" w:rsidTr="005A3F0A">
        <w:trPr>
          <w:trHeight w:val="315"/>
        </w:trPr>
        <w:tc>
          <w:tcPr>
            <w:tcW w:w="342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D3EB5D6"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00D95741">
              <w:rPr>
                <w:rFonts w:ascii="Arial" w:eastAsia="Times New Roman" w:hAnsi="Arial" w:cs="Arial"/>
                <w:lang w:eastAsia="en-AU"/>
              </w:rPr>
              <w:t>Deciding the outcome of an application for initial registration </w:t>
            </w:r>
          </w:p>
        </w:tc>
        <w:tc>
          <w:tcPr>
            <w:tcW w:w="57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9D294D5" w14:textId="77777777" w:rsidR="00C81293" w:rsidRDefault="00C81293" w:rsidP="005A3F0A">
            <w:pPr>
              <w:spacing w:after="0" w:afterAutospacing="1"/>
              <w:textAlignment w:val="baseline"/>
              <w:rPr>
                <w:rStyle w:val="cf01"/>
              </w:rPr>
            </w:pPr>
            <w:r w:rsidRPr="02413550">
              <w:rPr>
                <w:rStyle w:val="cf01"/>
              </w:rPr>
              <w:t xml:space="preserve">TEQSA must decide on the application within 9 months of receiving payment of the substantive assessment application fee. </w:t>
            </w:r>
          </w:p>
          <w:p w14:paraId="0EA46ACD" w14:textId="77777777" w:rsidR="00C81293" w:rsidRPr="00C6287D" w:rsidRDefault="00C81293" w:rsidP="005A3F0A">
            <w:pPr>
              <w:spacing w:after="0" w:afterAutospacing="1"/>
              <w:textAlignment w:val="baseline"/>
              <w:rPr>
                <w:rFonts w:eastAsia="Times New Roman"/>
                <w:lang w:eastAsia="en-AU"/>
              </w:rPr>
            </w:pPr>
            <w:r w:rsidRPr="02413550">
              <w:rPr>
                <w:rFonts w:eastAsia="Times New Roman"/>
                <w:lang w:eastAsia="en-AU"/>
              </w:rPr>
              <w:t>If, consistent with the TEQSA Act, TEQSA is satisfied that, for reasons beyond its control, a decision on the application cannot be made within 9 months, a longer period that does not exceed a further 9 months, may be determined by TEQSA. The decision to extend the timeframe must be made by no later than 6 weeks before the end of the initial 9-month period.  </w:t>
            </w:r>
          </w:p>
        </w:tc>
      </w:tr>
      <w:tr w:rsidR="00C81293" w:rsidRPr="00D95741" w14:paraId="47C84D9B" w14:textId="77777777" w:rsidTr="005A3F0A">
        <w:trPr>
          <w:trHeight w:val="330"/>
        </w:trPr>
        <w:tc>
          <w:tcPr>
            <w:tcW w:w="342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6EB23B"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46E22C0C">
              <w:rPr>
                <w:rFonts w:ascii="Arial" w:eastAsia="Times New Roman" w:hAnsi="Arial" w:cs="Arial"/>
                <w:lang w:eastAsia="en-AU"/>
              </w:rPr>
              <w:t>Using a longer period to decide on an application for registration </w:t>
            </w:r>
          </w:p>
        </w:tc>
        <w:tc>
          <w:tcPr>
            <w:tcW w:w="57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B8775F"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4D33F2B1">
              <w:rPr>
                <w:rFonts w:ascii="Arial" w:eastAsia="Times New Roman" w:hAnsi="Arial" w:cs="Arial"/>
                <w:lang w:eastAsia="en-AU"/>
              </w:rPr>
              <w:t>TEQSA, within 7 days of deciding a longer period is needed to decide on an application for registration, must inform the applicant in writing. </w:t>
            </w:r>
          </w:p>
        </w:tc>
      </w:tr>
      <w:tr w:rsidR="00C81293" w:rsidRPr="00D95741" w14:paraId="5CEB7838" w14:textId="77777777" w:rsidTr="005A3F0A">
        <w:trPr>
          <w:trHeight w:val="330"/>
        </w:trPr>
        <w:tc>
          <w:tcPr>
            <w:tcW w:w="342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5601D5"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4D33F2B1">
              <w:rPr>
                <w:rFonts w:ascii="Arial" w:eastAsia="Times New Roman" w:hAnsi="Arial" w:cs="Arial"/>
                <w:lang w:eastAsia="en-AU"/>
              </w:rPr>
              <w:t>Notifying an applicant for registration or re-registration of TEQSA’s decision on the application </w:t>
            </w:r>
          </w:p>
        </w:tc>
        <w:tc>
          <w:tcPr>
            <w:tcW w:w="57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913002"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02413550">
              <w:rPr>
                <w:rFonts w:ascii="Arial" w:eastAsia="Times New Roman" w:hAnsi="Arial" w:cs="Arial"/>
                <w:lang w:eastAsia="en-AU"/>
              </w:rPr>
              <w:t>TEQSA, within 30 days of making its decision to grant or reject the application, must inform the applicant in writing.  </w:t>
            </w:r>
          </w:p>
        </w:tc>
      </w:tr>
      <w:tr w:rsidR="00C81293" w:rsidRPr="00D95741" w14:paraId="647F22E7" w14:textId="77777777" w:rsidTr="005A3F0A">
        <w:trPr>
          <w:trHeight w:val="330"/>
        </w:trPr>
        <w:tc>
          <w:tcPr>
            <w:tcW w:w="342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06FDEBA" w14:textId="77777777" w:rsidR="00C81293" w:rsidRPr="00D95741" w:rsidRDefault="00C81293" w:rsidP="005A3F0A">
            <w:pPr>
              <w:spacing w:after="0" w:afterAutospacing="1"/>
              <w:textAlignment w:val="baseline"/>
              <w:rPr>
                <w:rFonts w:ascii="Arial" w:eastAsia="Times New Roman" w:hAnsi="Arial" w:cs="Arial"/>
                <w:lang w:eastAsia="en-AU"/>
              </w:rPr>
            </w:pPr>
            <w:r w:rsidRPr="02413550">
              <w:rPr>
                <w:rFonts w:ascii="Arial" w:eastAsia="Times New Roman" w:hAnsi="Arial" w:cs="Arial"/>
                <w:lang w:eastAsia="en-AU"/>
              </w:rPr>
              <w:t>Preliminary assessment of an application for course accreditation</w:t>
            </w:r>
          </w:p>
          <w:p w14:paraId="6EC05777"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00D95741">
              <w:rPr>
                <w:rFonts w:ascii="Arial" w:eastAsia="Times New Roman" w:hAnsi="Arial" w:cs="Arial"/>
                <w:lang w:eastAsia="en-AU"/>
              </w:rPr>
              <w:t> </w:t>
            </w:r>
          </w:p>
        </w:tc>
        <w:tc>
          <w:tcPr>
            <w:tcW w:w="57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E85E86"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4D33F2B1">
              <w:rPr>
                <w:rFonts w:ascii="Arial" w:eastAsia="Times New Roman" w:hAnsi="Arial" w:cs="Arial"/>
                <w:lang w:eastAsia="en-AU"/>
              </w:rPr>
              <w:t>TEQSA must inform the applicant within 30 days of an application being made whether the application for a course of study to be accredited contains sufficient information and, if not, if further information is required. </w:t>
            </w:r>
            <w:r>
              <w:br/>
            </w:r>
            <w:r w:rsidRPr="4D33F2B1">
              <w:rPr>
                <w:rFonts w:ascii="Arial" w:eastAsia="Times New Roman" w:hAnsi="Arial" w:cs="Arial"/>
                <w:lang w:eastAsia="en-AU"/>
              </w:rPr>
              <w:t> </w:t>
            </w:r>
          </w:p>
        </w:tc>
      </w:tr>
      <w:tr w:rsidR="00C81293" w:rsidRPr="00D95741" w14:paraId="1119F900" w14:textId="77777777" w:rsidTr="005A3F0A">
        <w:trPr>
          <w:trHeight w:val="330"/>
        </w:trPr>
        <w:tc>
          <w:tcPr>
            <w:tcW w:w="342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C6AEB28"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00D95741">
              <w:rPr>
                <w:rFonts w:ascii="Arial" w:eastAsia="Times New Roman" w:hAnsi="Arial" w:cs="Arial"/>
                <w:lang w:eastAsia="en-AU"/>
              </w:rPr>
              <w:t>Deciding the outcome of an application for course accreditation  </w:t>
            </w:r>
          </w:p>
        </w:tc>
        <w:tc>
          <w:tcPr>
            <w:tcW w:w="57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CC454F" w14:textId="77777777" w:rsidR="00C81293" w:rsidRPr="00D95741" w:rsidRDefault="00C81293" w:rsidP="005A3F0A">
            <w:pPr>
              <w:textAlignment w:val="baseline"/>
              <w:rPr>
                <w:rFonts w:ascii="Arial" w:eastAsia="Arial" w:hAnsi="Arial" w:cs="Arial"/>
              </w:rPr>
            </w:pPr>
            <w:r w:rsidRPr="02413550">
              <w:rPr>
                <w:rFonts w:ascii="Arial" w:eastAsia="Arial" w:hAnsi="Arial" w:cs="Arial"/>
              </w:rPr>
              <w:t>TEQSA must decide on the application within 9 months of receiving payment of the substantive assessment application fee.</w:t>
            </w:r>
          </w:p>
          <w:p w14:paraId="338BB134"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02413550">
              <w:rPr>
                <w:rFonts w:ascii="Arial" w:eastAsia="Arial" w:hAnsi="Arial" w:cs="Arial"/>
              </w:rPr>
              <w:t>If, consistent with the TEQSA Act, TEQSA is satisfied that, for reasons beyond its control, a decision on the application cannot be made within 9 months, a longer period that does not exceed a further 9 months, may be determined by TEQSA. The decision to extend the timeframe must be made by no later than 6 weeks before the end of the initial 9-month period.</w:t>
            </w:r>
            <w:r w:rsidRPr="02413550">
              <w:rPr>
                <w:rFonts w:ascii="Arial" w:eastAsia="Times New Roman" w:hAnsi="Arial" w:cs="Arial"/>
                <w:lang w:eastAsia="en-AU"/>
              </w:rPr>
              <w:t> </w:t>
            </w:r>
          </w:p>
        </w:tc>
      </w:tr>
      <w:tr w:rsidR="00C81293" w:rsidRPr="00D95741" w14:paraId="31946FEC" w14:textId="77777777" w:rsidTr="005A3F0A">
        <w:trPr>
          <w:trHeight w:val="330"/>
        </w:trPr>
        <w:tc>
          <w:tcPr>
            <w:tcW w:w="342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723810"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46E22C0C">
              <w:rPr>
                <w:rFonts w:ascii="Arial" w:eastAsia="Times New Roman" w:hAnsi="Arial" w:cs="Arial"/>
                <w:lang w:eastAsia="en-AU"/>
              </w:rPr>
              <w:lastRenderedPageBreak/>
              <w:t>Using a longer period to decide on an application for course accreditation </w:t>
            </w:r>
          </w:p>
        </w:tc>
        <w:tc>
          <w:tcPr>
            <w:tcW w:w="57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4DD8718"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4D33F2B1">
              <w:rPr>
                <w:rFonts w:ascii="Arial" w:eastAsia="Times New Roman" w:hAnsi="Arial" w:cs="Arial"/>
                <w:lang w:eastAsia="en-AU"/>
              </w:rPr>
              <w:t>TEQSA, within 7 days of deciding a longer period is needed to decide on an application for course accreditation, must inform the applicant in writing. </w:t>
            </w:r>
          </w:p>
        </w:tc>
      </w:tr>
      <w:tr w:rsidR="00C81293" w:rsidRPr="00D95741" w14:paraId="28C7627E" w14:textId="77777777" w:rsidTr="005A3F0A">
        <w:trPr>
          <w:trHeight w:val="330"/>
        </w:trPr>
        <w:tc>
          <w:tcPr>
            <w:tcW w:w="342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968029"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4D33F2B1">
              <w:rPr>
                <w:rFonts w:ascii="Arial" w:eastAsia="Times New Roman" w:hAnsi="Arial" w:cs="Arial"/>
                <w:lang w:eastAsia="en-AU"/>
              </w:rPr>
              <w:t>Notifying an applicant for course accreditation or re-accreditation of TEQSA’s decision on the application </w:t>
            </w:r>
          </w:p>
        </w:tc>
        <w:tc>
          <w:tcPr>
            <w:tcW w:w="57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BF6D0C"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4D33F2B1">
              <w:rPr>
                <w:rFonts w:ascii="Arial" w:eastAsia="Times New Roman" w:hAnsi="Arial" w:cs="Arial"/>
                <w:lang w:eastAsia="en-AU"/>
              </w:rPr>
              <w:t>TEQSA must inform the applicant of its decision to grant or reject an application for course accreditation or course re-accreditation within 30 days of its decision. </w:t>
            </w:r>
          </w:p>
        </w:tc>
      </w:tr>
      <w:tr w:rsidR="00C81293" w:rsidRPr="00D95741" w14:paraId="346EB2E2" w14:textId="77777777" w:rsidTr="005A3F0A">
        <w:trPr>
          <w:trHeight w:val="330"/>
        </w:trPr>
        <w:tc>
          <w:tcPr>
            <w:tcW w:w="342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1A3C71"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4D33F2B1">
              <w:rPr>
                <w:rFonts w:ascii="Arial" w:eastAsia="Times New Roman" w:hAnsi="Arial" w:cs="Arial"/>
                <w:lang w:eastAsia="en-AU"/>
              </w:rPr>
              <w:t>Notifying providers about a decision to impose, vary or revoke a condition on a course accreditation or provider registration </w:t>
            </w:r>
          </w:p>
        </w:tc>
        <w:tc>
          <w:tcPr>
            <w:tcW w:w="578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8D6528" w14:textId="77777777" w:rsidR="00C81293" w:rsidRPr="00D95741" w:rsidRDefault="00C81293" w:rsidP="005A3F0A">
            <w:pPr>
              <w:spacing w:after="0" w:afterAutospacing="1"/>
              <w:textAlignment w:val="baseline"/>
              <w:rPr>
                <w:rFonts w:ascii="Times New Roman" w:eastAsia="Times New Roman" w:hAnsi="Times New Roman" w:cs="Times New Roman"/>
                <w:sz w:val="24"/>
                <w:szCs w:val="24"/>
                <w:lang w:eastAsia="en-AU"/>
              </w:rPr>
            </w:pPr>
            <w:r w:rsidRPr="750FA8F6">
              <w:rPr>
                <w:rFonts w:ascii="Arial" w:eastAsia="Times New Roman" w:hAnsi="Arial" w:cs="Arial"/>
                <w:lang w:eastAsia="en-AU"/>
              </w:rPr>
              <w:t>TEQSA, within 30 days of making a decision to impose, vary or revoke a condition on a provider’s registration or course accreditation, must inform the provider. </w:t>
            </w:r>
          </w:p>
        </w:tc>
      </w:tr>
      <w:tr w:rsidR="00C81293" w:rsidRPr="00D95741" w14:paraId="76611CAD" w14:textId="77777777" w:rsidTr="005A3F0A">
        <w:trPr>
          <w:trHeight w:val="330"/>
        </w:trPr>
        <w:tc>
          <w:tcPr>
            <w:tcW w:w="3421" w:type="dxa"/>
            <w:tcBorders>
              <w:top w:val="single" w:sz="6" w:space="0" w:color="auto"/>
              <w:left w:val="single" w:sz="6" w:space="0" w:color="auto"/>
              <w:bottom w:val="single" w:sz="6" w:space="0" w:color="auto"/>
              <w:right w:val="single" w:sz="6" w:space="0" w:color="auto"/>
            </w:tcBorders>
            <w:shd w:val="clear" w:color="auto" w:fill="FFFFFF" w:themeFill="background1"/>
          </w:tcPr>
          <w:p w14:paraId="15D14B9D" w14:textId="77777777" w:rsidR="00C81293" w:rsidRPr="00D95741" w:rsidRDefault="00C81293" w:rsidP="005A3F0A">
            <w:pPr>
              <w:spacing w:after="0" w:afterAutospacing="1"/>
              <w:textAlignment w:val="baseline"/>
              <w:rPr>
                <w:rFonts w:ascii="Arial" w:eastAsia="Times New Roman" w:hAnsi="Arial" w:cs="Arial"/>
                <w:lang w:eastAsia="en-AU"/>
              </w:rPr>
            </w:pPr>
            <w:r w:rsidRPr="00D95741">
              <w:rPr>
                <w:rFonts w:ascii="Arial" w:eastAsia="Times New Roman" w:hAnsi="Arial" w:cs="Arial"/>
                <w:lang w:eastAsia="en-AU"/>
              </w:rPr>
              <w:t>Complete internal review of decisions </w:t>
            </w:r>
          </w:p>
        </w:tc>
        <w:tc>
          <w:tcPr>
            <w:tcW w:w="5785" w:type="dxa"/>
            <w:tcBorders>
              <w:top w:val="single" w:sz="6" w:space="0" w:color="auto"/>
              <w:left w:val="single" w:sz="6" w:space="0" w:color="auto"/>
              <w:bottom w:val="single" w:sz="6" w:space="0" w:color="auto"/>
              <w:right w:val="single" w:sz="6" w:space="0" w:color="auto"/>
            </w:tcBorders>
            <w:shd w:val="clear" w:color="auto" w:fill="FFFFFF" w:themeFill="background1"/>
          </w:tcPr>
          <w:p w14:paraId="194E92C4" w14:textId="77777777" w:rsidR="00C81293" w:rsidRPr="00D95741" w:rsidRDefault="00C81293" w:rsidP="005A3F0A">
            <w:pPr>
              <w:spacing w:after="0" w:afterAutospacing="1"/>
              <w:textAlignment w:val="baseline"/>
              <w:rPr>
                <w:rFonts w:ascii="Arial" w:eastAsia="Times New Roman" w:hAnsi="Arial" w:cs="Arial"/>
                <w:lang w:eastAsia="en-AU"/>
              </w:rPr>
            </w:pPr>
            <w:r w:rsidRPr="4D33F2B1">
              <w:rPr>
                <w:lang w:eastAsia="en-AU"/>
              </w:rPr>
              <w:t>TEQSA, within 90 days after receiving an application for review and payment of any applicable substantive fees, must make its decision on review of a reviewable decision.</w:t>
            </w:r>
          </w:p>
        </w:tc>
      </w:tr>
    </w:tbl>
    <w:p w14:paraId="069610E3" w14:textId="77777777" w:rsidR="00C81293" w:rsidRPr="00E0590F" w:rsidRDefault="00C81293" w:rsidP="00C81293">
      <w:pPr>
        <w:rPr>
          <w:rFonts w:ascii="Segoe UI" w:eastAsia="Times New Roman" w:hAnsi="Segoe UI" w:cs="Segoe UI"/>
          <w:lang w:eastAsia="en-AU"/>
        </w:rPr>
      </w:pPr>
    </w:p>
    <w:p w14:paraId="09340081" w14:textId="77777777" w:rsidR="00C81293" w:rsidRPr="00C81293" w:rsidRDefault="00C81293" w:rsidP="00C81293"/>
    <w:sectPr w:rsidR="00C81293" w:rsidRPr="00C81293" w:rsidSect="000F75FF">
      <w:headerReference w:type="even" r:id="rId48"/>
      <w:headerReference w:type="default" r:id="rId49"/>
      <w:footerReference w:type="even" r:id="rId50"/>
      <w:footerReference w:type="default" r:id="rId51"/>
      <w:headerReference w:type="first" r:id="rId52"/>
      <w:footerReference w:type="first" r:id="rId53"/>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6D69" w14:textId="77777777" w:rsidR="000F75FF" w:rsidRDefault="000F75FF" w:rsidP="008E21DE">
      <w:pPr>
        <w:spacing w:before="0" w:after="0"/>
      </w:pPr>
      <w:r>
        <w:separator/>
      </w:r>
    </w:p>
  </w:endnote>
  <w:endnote w:type="continuationSeparator" w:id="0">
    <w:p w14:paraId="26D32F3B" w14:textId="77777777" w:rsidR="000F75FF" w:rsidRDefault="000F75FF" w:rsidP="008E21DE">
      <w:pPr>
        <w:spacing w:before="0" w:after="0"/>
      </w:pPr>
      <w:r>
        <w:continuationSeparator/>
      </w:r>
    </w:p>
  </w:endnote>
  <w:endnote w:type="continuationNotice" w:id="1">
    <w:p w14:paraId="1CD9301C" w14:textId="77777777" w:rsidR="000F75FF" w:rsidRDefault="000F75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1385" w14:textId="4F888DD6" w:rsidR="00601720" w:rsidRDefault="00601720">
    <w:pPr>
      <w:pStyle w:val="Footer"/>
    </w:pPr>
    <w:r>
      <w:rPr>
        <w:noProof/>
      </w:rPr>
      <mc:AlternateContent>
        <mc:Choice Requires="wps">
          <w:drawing>
            <wp:anchor distT="0" distB="0" distL="114300" distR="114300" simplePos="0" relativeHeight="251664385" behindDoc="0" locked="1" layoutInCell="0" allowOverlap="1" wp14:anchorId="44B62448" wp14:editId="4AB8C587">
              <wp:simplePos x="0" y="0"/>
              <wp:positionH relativeFrom="margin">
                <wp:align>center</wp:align>
              </wp:positionH>
              <wp:positionV relativeFrom="bottomMargin">
                <wp:align>center</wp:align>
              </wp:positionV>
              <wp:extent cx="892175" cy="273050"/>
              <wp:effectExtent l="0" t="0" r="0" b="0"/>
              <wp:wrapNone/>
              <wp:docPr id="659229884"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E19B4" w14:textId="77C2F928"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PM_ProtectiveMarkingValue_Footer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B62448" id="_x0000_t202" coordsize="21600,21600" o:spt="202" path="m,l,21600r21600,l21600,xe">
              <v:stroke joinstyle="miter"/>
              <v:path gradientshapeok="t" o:connecttype="rect"/>
            </v:shapetype>
            <v:shape id="janusSEAL SC F_EvenPage" o:spid="_x0000_s1028" type="#_x0000_t202" style="position:absolute;margin-left:0;margin-top:0;width:70.25pt;height:21.5pt;z-index:25166438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0FEE19B4" w14:textId="77C2F928"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PM_ProtectiveMarkingValue_Footer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2B38" w14:textId="361942BB" w:rsidR="00601720" w:rsidRDefault="00601720">
    <w:pPr>
      <w:pStyle w:val="Footer"/>
    </w:pPr>
    <w:r>
      <w:rPr>
        <w:noProof/>
      </w:rPr>
      <mc:AlternateContent>
        <mc:Choice Requires="wps">
          <w:drawing>
            <wp:anchor distT="0" distB="0" distL="114300" distR="114300" simplePos="0" relativeHeight="251662337" behindDoc="0" locked="1" layoutInCell="0" allowOverlap="1" wp14:anchorId="0221DD26" wp14:editId="250A0C3C">
              <wp:simplePos x="0" y="0"/>
              <wp:positionH relativeFrom="margin">
                <wp:align>center</wp:align>
              </wp:positionH>
              <wp:positionV relativeFrom="bottomMargin">
                <wp:align>center</wp:align>
              </wp:positionV>
              <wp:extent cx="892175" cy="273050"/>
              <wp:effectExtent l="0" t="0" r="0" b="0"/>
              <wp:wrapNone/>
              <wp:docPr id="1461501667"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55C99" w14:textId="1F792980"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PM_ProtectiveMarkingValue_Footer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21DD26" id="_x0000_t202" coordsize="21600,21600" o:spt="202" path="m,l,21600r21600,l21600,xe">
              <v:stroke joinstyle="miter"/>
              <v:path gradientshapeok="t" o:connecttype="rect"/>
            </v:shapetype>
            <v:shape id="janusSEAL SC Footer" o:spid="_x0000_s1029" type="#_x0000_t202" style="position:absolute;margin-left:0;margin-top:0;width:70.25pt;height:21.5pt;z-index:25166233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2D955C99" w14:textId="1F792980"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PM_ProtectiveMarkingValue_Footer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v:textbox>
              <w10:wrap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A9C2" w14:textId="149395B3" w:rsidR="000E6484" w:rsidRDefault="00601720" w:rsidP="00A63121">
    <w:pPr>
      <w:pStyle w:val="Footer"/>
      <w:jc w:val="right"/>
    </w:pPr>
    <w:r>
      <w:rPr>
        <w:noProof/>
      </w:rPr>
      <mc:AlternateContent>
        <mc:Choice Requires="wps">
          <w:drawing>
            <wp:anchor distT="0" distB="0" distL="114300" distR="114300" simplePos="0" relativeHeight="251663361" behindDoc="0" locked="1" layoutInCell="0" allowOverlap="1" wp14:anchorId="7CE2BA02" wp14:editId="3CB4E3B7">
              <wp:simplePos x="0" y="0"/>
              <wp:positionH relativeFrom="margin">
                <wp:align>center</wp:align>
              </wp:positionH>
              <wp:positionV relativeFrom="bottomMargin">
                <wp:align>center</wp:align>
              </wp:positionV>
              <wp:extent cx="892175" cy="273050"/>
              <wp:effectExtent l="0" t="0" r="0" b="0"/>
              <wp:wrapNone/>
              <wp:docPr id="1492961359"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6E8B13" w14:textId="714599FB" w:rsidR="00601720" w:rsidRPr="00601720" w:rsidRDefault="00601720" w:rsidP="00601720">
                          <w:pPr>
                            <w:spacing w:before="0" w:after="0"/>
                            <w:jc w:val="center"/>
                            <w:rPr>
                              <w:b/>
                              <w:color w:val="FF0000"/>
                              <w:sz w:val="24"/>
                            </w:rPr>
                          </w:pPr>
                          <w:r>
                            <w:rPr>
                              <w:b/>
                              <w:color w:val="FF0000"/>
                              <w:sz w:val="24"/>
                            </w:rPr>
                            <w:fldChar w:fldCharType="begin"/>
                          </w:r>
                          <w:r>
                            <w:rPr>
                              <w:b/>
                              <w:color w:val="FF0000"/>
                              <w:sz w:val="24"/>
                            </w:rPr>
                            <w:instrText xml:space="preserve"> DOCPROPERTY PM_ProtectiveMarkingValue_Footer \* MERGEFORMAT </w:instrText>
                          </w:r>
                          <w:r>
                            <w:rPr>
                              <w:b/>
                              <w:color w:val="FF0000"/>
                              <w:sz w:val="24"/>
                            </w:rPr>
                            <w:fldChar w:fldCharType="separate"/>
                          </w:r>
                          <w:r w:rsidR="00DB5CD3">
                            <w:rPr>
                              <w:b/>
                              <w:color w:val="FF0000"/>
                              <w:sz w:val="24"/>
                            </w:rPr>
                            <w:t>OFFICIAL</w:t>
                          </w:r>
                          <w:r>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E2BA02" id="_x0000_t202" coordsize="21600,21600" o:spt="202" path="m,l,21600r21600,l21600,xe">
              <v:stroke joinstyle="miter"/>
              <v:path gradientshapeok="t" o:connecttype="rect"/>
            </v:shapetype>
            <v:shape id="janusSEAL SC F_FirstPage" o:spid="_x0000_s1031" type="#_x0000_t202" style="position:absolute;left:0;text-align:left;margin-left:0;margin-top:0;width:70.25pt;height:21.5pt;z-index:25166336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236E8B13" w14:textId="714599FB" w:rsidR="00601720" w:rsidRPr="00601720" w:rsidRDefault="00601720" w:rsidP="00601720">
                    <w:pPr>
                      <w:spacing w:before="0" w:after="0"/>
                      <w:jc w:val="center"/>
                      <w:rPr>
                        <w:b/>
                        <w:color w:val="FF0000"/>
                        <w:sz w:val="24"/>
                      </w:rPr>
                    </w:pPr>
                    <w:r>
                      <w:rPr>
                        <w:b/>
                        <w:color w:val="FF0000"/>
                        <w:sz w:val="24"/>
                      </w:rPr>
                      <w:fldChar w:fldCharType="begin"/>
                    </w:r>
                    <w:r>
                      <w:rPr>
                        <w:b/>
                        <w:color w:val="FF0000"/>
                        <w:sz w:val="24"/>
                      </w:rPr>
                      <w:instrText xml:space="preserve"> DOCPROPERTY PM_ProtectiveMarkingValue_Footer \* MERGEFORMAT </w:instrText>
                    </w:r>
                    <w:r>
                      <w:rPr>
                        <w:b/>
                        <w:color w:val="FF0000"/>
                        <w:sz w:val="24"/>
                      </w:rPr>
                      <w:fldChar w:fldCharType="separate"/>
                    </w:r>
                    <w:r w:rsidR="00DB5CD3">
                      <w:rPr>
                        <w:b/>
                        <w:color w:val="FF0000"/>
                        <w:sz w:val="24"/>
                      </w:rPr>
                      <w:t>OFFICIAL</w:t>
                    </w:r>
                    <w:r>
                      <w:rPr>
                        <w:b/>
                        <w:color w:val="FF0000"/>
                        <w:sz w:val="24"/>
                      </w:rPr>
                      <w:fldChar w:fldCharType="end"/>
                    </w:r>
                  </w:p>
                </w:txbxContent>
              </v:textbox>
              <w10:wrap anchorx="margin" anchory="margin"/>
              <w10:anchorlock/>
            </v:shape>
          </w:pict>
        </mc:Fallback>
      </mc:AlternateContent>
    </w:r>
    <w:r w:rsidR="00A63121">
      <w:rPr>
        <w:noProof/>
      </w:rPr>
      <w:drawing>
        <wp:inline distT="0" distB="0" distL="0" distR="0" wp14:anchorId="3D369A58" wp14:editId="48945083">
          <wp:extent cx="1908000" cy="471600"/>
          <wp:effectExtent l="0" t="0" r="0" b="508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8000" cy="4716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FE09" w14:textId="58C11538" w:rsidR="0051584F" w:rsidRDefault="00601720">
    <w:pPr>
      <w:pStyle w:val="Footer"/>
    </w:pPr>
    <w:r>
      <w:rPr>
        <w:noProof/>
      </w:rPr>
      <mc:AlternateContent>
        <mc:Choice Requires="wps">
          <w:drawing>
            <wp:anchor distT="0" distB="0" distL="114300" distR="114300" simplePos="0" relativeHeight="251670529" behindDoc="0" locked="1" layoutInCell="0" allowOverlap="1" wp14:anchorId="0257DBF7" wp14:editId="4B62BB6B">
              <wp:simplePos x="0" y="0"/>
              <wp:positionH relativeFrom="margin">
                <wp:align>center</wp:align>
              </wp:positionH>
              <wp:positionV relativeFrom="bottomMargin">
                <wp:align>center</wp:align>
              </wp:positionV>
              <wp:extent cx="892175" cy="273050"/>
              <wp:effectExtent l="0" t="0" r="0" b="0"/>
              <wp:wrapNone/>
              <wp:docPr id="182529748"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CEDE1" w14:textId="0F831A6E"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PM_ProtectiveMarkingValue_Footer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57DBF7" id="_x0000_t202" coordsize="21600,21600" o:spt="202" path="m,l,21600r21600,l21600,xe">
              <v:stroke joinstyle="miter"/>
              <v:path gradientshapeok="t" o:connecttype="rect"/>
            </v:shapetype>
            <v:shape id="_x0000_s1034" type="#_x0000_t202" style="position:absolute;margin-left:0;margin-top:0;width:70.25pt;height:21.5pt;z-index:25167052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222CEDE1" w14:textId="0F831A6E"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PM_ProtectiveMarkingValue_Footer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v:textbox>
              <w10:wrap anchorx="margin" anchory="margin"/>
              <w10:anchorlock/>
            </v:shape>
          </w:pict>
        </mc:Fallback>
      </mc:AlternateContent>
    </w:r>
    <w:sdt>
      <w:sdtPr>
        <w:id w:val="-559559136"/>
        <w:docPartObj>
          <w:docPartGallery w:val="Page Numbers (Bottom of Page)"/>
          <w:docPartUnique/>
        </w:docPartObj>
      </w:sdtPr>
      <w:sdtEndPr/>
      <w:sdtContent>
        <w:sdt>
          <w:sdtPr>
            <w:id w:val="-1705238520"/>
            <w:docPartObj>
              <w:docPartGallery w:val="Page Numbers (Top of Page)"/>
              <w:docPartUnique/>
            </w:docPartObj>
          </w:sdtPr>
          <w:sdtEndPr/>
          <w:sdtContent>
            <w:r w:rsidR="0051584F">
              <w:t xml:space="preserve">Page </w:t>
            </w:r>
            <w:r w:rsidR="0051584F">
              <w:rPr>
                <w:b/>
                <w:bCs/>
                <w:sz w:val="24"/>
                <w:szCs w:val="24"/>
              </w:rPr>
              <w:fldChar w:fldCharType="begin"/>
            </w:r>
            <w:r w:rsidR="0051584F">
              <w:rPr>
                <w:b/>
                <w:bCs/>
              </w:rPr>
              <w:instrText xml:space="preserve"> PAGE </w:instrText>
            </w:r>
            <w:r w:rsidR="0051584F">
              <w:rPr>
                <w:b/>
                <w:bCs/>
                <w:sz w:val="24"/>
                <w:szCs w:val="24"/>
              </w:rPr>
              <w:fldChar w:fldCharType="separate"/>
            </w:r>
            <w:r w:rsidR="0051584F">
              <w:rPr>
                <w:b/>
                <w:bCs/>
                <w:noProof/>
              </w:rPr>
              <w:t>2</w:t>
            </w:r>
            <w:r w:rsidR="0051584F">
              <w:rPr>
                <w:b/>
                <w:bCs/>
                <w:sz w:val="24"/>
                <w:szCs w:val="24"/>
              </w:rPr>
              <w:fldChar w:fldCharType="end"/>
            </w:r>
            <w:r w:rsidR="0051584F">
              <w:t xml:space="preserve"> of </w:t>
            </w:r>
            <w:r w:rsidR="0051584F">
              <w:rPr>
                <w:b/>
                <w:bCs/>
                <w:sz w:val="24"/>
                <w:szCs w:val="24"/>
              </w:rPr>
              <w:fldChar w:fldCharType="begin"/>
            </w:r>
            <w:r w:rsidR="0051584F">
              <w:rPr>
                <w:b/>
                <w:bCs/>
              </w:rPr>
              <w:instrText xml:space="preserve"> NUMPAGES  </w:instrText>
            </w:r>
            <w:r w:rsidR="0051584F">
              <w:rPr>
                <w:b/>
                <w:bCs/>
                <w:sz w:val="24"/>
                <w:szCs w:val="24"/>
              </w:rPr>
              <w:fldChar w:fldCharType="separate"/>
            </w:r>
            <w:r w:rsidR="0051584F">
              <w:rPr>
                <w:b/>
                <w:bCs/>
                <w:noProof/>
              </w:rPr>
              <w:t>2</w:t>
            </w:r>
            <w:r w:rsidR="0051584F">
              <w:rPr>
                <w:b/>
                <w:bCs/>
                <w:sz w:val="24"/>
                <w:szCs w:val="24"/>
              </w:rPr>
              <w:fldChar w:fldCharType="end"/>
            </w:r>
          </w:sdtContent>
        </w:sdt>
      </w:sdtContent>
    </w:sdt>
  </w:p>
  <w:p w14:paraId="33EA2BC8" w14:textId="202A1060" w:rsidR="000E6484" w:rsidRDefault="000E64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08D9" w14:textId="460F8271" w:rsidR="0051584F" w:rsidRDefault="00601720">
    <w:pPr>
      <w:pStyle w:val="Footer"/>
    </w:pPr>
    <w:r>
      <w:rPr>
        <w:noProof/>
      </w:rPr>
      <mc:AlternateContent>
        <mc:Choice Requires="wps">
          <w:drawing>
            <wp:anchor distT="0" distB="0" distL="114300" distR="114300" simplePos="0" relativeHeight="251668481" behindDoc="0" locked="1" layoutInCell="0" allowOverlap="1" wp14:anchorId="5C0C0C8E" wp14:editId="410E16AD">
              <wp:simplePos x="0" y="0"/>
              <wp:positionH relativeFrom="margin">
                <wp:align>center</wp:align>
              </wp:positionH>
              <wp:positionV relativeFrom="bottomMargin">
                <wp:align>center</wp:align>
              </wp:positionV>
              <wp:extent cx="892175" cy="273050"/>
              <wp:effectExtent l="0" t="0" r="0" b="0"/>
              <wp:wrapNone/>
              <wp:docPr id="8965438"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BD436" w14:textId="5D1E6AD8"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PM_ProtectiveMarkingValue_Footer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0C0C8E" id="_x0000_t202" coordsize="21600,21600" o:spt="202" path="m,l,21600r21600,l21600,xe">
              <v:stroke joinstyle="miter"/>
              <v:path gradientshapeok="t" o:connecttype="rect"/>
            </v:shapetype>
            <v:shape id="_x0000_s1035" type="#_x0000_t202" style="position:absolute;margin-left:0;margin-top:0;width:70.25pt;height:21.5pt;z-index:25166848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400BD436" w14:textId="5D1E6AD8"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PM_ProtectiveMarkingValue_Footer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v:textbox>
              <w10:wrap anchorx="margin" anchory="margin"/>
              <w10:anchorlock/>
            </v:shape>
          </w:pict>
        </mc:Fallback>
      </mc:AlternateContent>
    </w:r>
    <w:sdt>
      <w:sdtPr>
        <w:id w:val="-1812477740"/>
        <w:docPartObj>
          <w:docPartGallery w:val="Page Numbers (Bottom of Page)"/>
          <w:docPartUnique/>
        </w:docPartObj>
      </w:sdtPr>
      <w:sdtEndPr/>
      <w:sdtContent>
        <w:sdt>
          <w:sdtPr>
            <w:id w:val="1610243528"/>
            <w:docPartObj>
              <w:docPartGallery w:val="Page Numbers (Top of Page)"/>
              <w:docPartUnique/>
            </w:docPartObj>
          </w:sdtPr>
          <w:sdtEndPr/>
          <w:sdtContent>
            <w:r w:rsidR="0051584F">
              <w:t xml:space="preserve">Page </w:t>
            </w:r>
            <w:r w:rsidR="0051584F">
              <w:rPr>
                <w:b/>
                <w:bCs/>
                <w:sz w:val="24"/>
                <w:szCs w:val="24"/>
              </w:rPr>
              <w:fldChar w:fldCharType="begin"/>
            </w:r>
            <w:r w:rsidR="0051584F">
              <w:rPr>
                <w:b/>
                <w:bCs/>
              </w:rPr>
              <w:instrText xml:space="preserve"> PAGE </w:instrText>
            </w:r>
            <w:r w:rsidR="0051584F">
              <w:rPr>
                <w:b/>
                <w:bCs/>
                <w:sz w:val="24"/>
                <w:szCs w:val="24"/>
              </w:rPr>
              <w:fldChar w:fldCharType="separate"/>
            </w:r>
            <w:r w:rsidR="0051584F">
              <w:rPr>
                <w:b/>
                <w:bCs/>
                <w:noProof/>
              </w:rPr>
              <w:t>2</w:t>
            </w:r>
            <w:r w:rsidR="0051584F">
              <w:rPr>
                <w:b/>
                <w:bCs/>
                <w:sz w:val="24"/>
                <w:szCs w:val="24"/>
              </w:rPr>
              <w:fldChar w:fldCharType="end"/>
            </w:r>
            <w:r w:rsidR="0051584F">
              <w:t xml:space="preserve"> of </w:t>
            </w:r>
            <w:r w:rsidR="0051584F">
              <w:rPr>
                <w:b/>
                <w:bCs/>
                <w:sz w:val="24"/>
                <w:szCs w:val="24"/>
              </w:rPr>
              <w:fldChar w:fldCharType="begin"/>
            </w:r>
            <w:r w:rsidR="0051584F">
              <w:rPr>
                <w:b/>
                <w:bCs/>
              </w:rPr>
              <w:instrText xml:space="preserve"> NUMPAGES  </w:instrText>
            </w:r>
            <w:r w:rsidR="0051584F">
              <w:rPr>
                <w:b/>
                <w:bCs/>
                <w:sz w:val="24"/>
                <w:szCs w:val="24"/>
              </w:rPr>
              <w:fldChar w:fldCharType="separate"/>
            </w:r>
            <w:r w:rsidR="0051584F">
              <w:rPr>
                <w:b/>
                <w:bCs/>
                <w:noProof/>
              </w:rPr>
              <w:t>2</w:t>
            </w:r>
            <w:r w:rsidR="0051584F">
              <w:rPr>
                <w:b/>
                <w:bCs/>
                <w:sz w:val="24"/>
                <w:szCs w:val="24"/>
              </w:rPr>
              <w:fldChar w:fldCharType="end"/>
            </w:r>
          </w:sdtContent>
        </w:sdt>
      </w:sdtContent>
    </w:sdt>
  </w:p>
  <w:p w14:paraId="0CC5BA36" w14:textId="585E2D52" w:rsidR="000E6484" w:rsidRPr="000E6484" w:rsidRDefault="000E6484" w:rsidP="000806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179E" w14:textId="176E243C" w:rsidR="000E6484" w:rsidRPr="00080615" w:rsidRDefault="00601720" w:rsidP="00080615">
    <w:pPr>
      <w:pStyle w:val="Footer"/>
    </w:pPr>
    <w:r>
      <w:rPr>
        <w:noProof/>
        <w:lang w:eastAsia="en-AU"/>
      </w:rPr>
      <mc:AlternateContent>
        <mc:Choice Requires="wps">
          <w:drawing>
            <wp:anchor distT="0" distB="0" distL="114300" distR="114300" simplePos="0" relativeHeight="251669505" behindDoc="0" locked="1" layoutInCell="0" allowOverlap="1" wp14:anchorId="7770CEB6" wp14:editId="7643B39C">
              <wp:simplePos x="0" y="0"/>
              <wp:positionH relativeFrom="margin">
                <wp:align>center</wp:align>
              </wp:positionH>
              <wp:positionV relativeFrom="bottomMargin">
                <wp:align>center</wp:align>
              </wp:positionV>
              <wp:extent cx="892175" cy="273050"/>
              <wp:effectExtent l="0" t="0" r="0" b="0"/>
              <wp:wrapNone/>
              <wp:docPr id="460693607"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C13F84" w14:textId="59ED63DE"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PM_ProtectiveMarkingValue_Footer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70CEB6" id="_x0000_t202" coordsize="21600,21600" o:spt="202" path="m,l,21600r21600,l21600,xe">
              <v:stroke joinstyle="miter"/>
              <v:path gradientshapeok="t" o:connecttype="rect"/>
            </v:shapetype>
            <v:shape id="_x0000_s1037" type="#_x0000_t202" style="position:absolute;margin-left:0;margin-top:0;width:70.25pt;height:21.5pt;z-index:25166950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Ey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5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GC4wTIYAgAAMQQAAA4AAAAAAAAAAAAAAAAALgIAAGRycy9lMm9Eb2MueG1sUEsBAi0AFAAGAAgA&#10;AAAhAGk6TznbAAAABAEAAA8AAAAAAAAAAAAAAAAAcgQAAGRycy9kb3ducmV2LnhtbFBLBQYAAAAA&#10;BAAEAPMAAAB6BQAAAAA=&#10;" o:allowincell="f" filled="f" stroked="f" strokeweight=".5pt">
              <v:textbox style="mso-fit-shape-to-text:t">
                <w:txbxContent>
                  <w:p w14:paraId="45C13F84" w14:textId="59ED63DE"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PM_ProtectiveMarkingValue_Footer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v:textbox>
              <w10:wrap anchorx="margin" anchory="margin"/>
              <w10:anchorlock/>
            </v:shape>
          </w:pict>
        </mc:Fallback>
      </mc:AlternateContent>
    </w:r>
    <w:r w:rsidR="000E6484" w:rsidRPr="00080615">
      <w:rPr>
        <w:noProof/>
        <w:lang w:eastAsia="en-AU"/>
      </w:rPr>
      <mc:AlternateContent>
        <mc:Choice Requires="wps">
          <w:drawing>
            <wp:anchor distT="0" distB="0" distL="114300" distR="114300" simplePos="0" relativeHeight="251658241" behindDoc="0" locked="1" layoutInCell="1" allowOverlap="1" wp14:anchorId="6111A271" wp14:editId="7C91C4FB">
              <wp:simplePos x="0" y="0"/>
              <wp:positionH relativeFrom="page">
                <wp:posOffset>6070600</wp:posOffset>
              </wp:positionH>
              <wp:positionV relativeFrom="page">
                <wp:posOffset>10083800</wp:posOffset>
              </wp:positionV>
              <wp:extent cx="1490345"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490345" cy="600710"/>
                      </a:xfrm>
                      <a:prstGeom prst="rect">
                        <a:avLst/>
                      </a:prstGeom>
                      <a:noFill/>
                      <a:ln w="6350">
                        <a:noFill/>
                      </a:ln>
                    </wps:spPr>
                    <wps:txbx>
                      <w:txbxContent>
                        <w:p w14:paraId="066FFA86" w14:textId="77777777" w:rsidR="000E6484" w:rsidRDefault="000E648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1A271" id="Text Box 4" o:spid="_x0000_s1038" type="#_x0000_t202" style="position:absolute;margin-left:478pt;margin-top:794pt;width:117.35pt;height:47.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" filled="f" stroked="f" strokeweight=".5pt">
              <v:textbox inset="0,0,20mm,0">
                <w:txbxContent>
                  <w:p w14:paraId="066FFA86" w14:textId="77777777" w:rsidR="000E6484" w:rsidRDefault="000E648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p>
                </w:txbxContent>
              </v:textbox>
              <w10:wrap anchorx="page" anchory="page"/>
              <w10:anchorlock/>
            </v:shape>
          </w:pict>
        </mc:Fallback>
      </mc:AlternateContent>
    </w:r>
    <w:fldSimple w:instr="STYLEREF  Title  \* MERGEFORMAT">
      <w:r w:rsidR="00081917" w:rsidRPr="00081917">
        <w:rPr>
          <w:b/>
          <w:bCs/>
          <w:noProof/>
          <w:lang w:val="en-US"/>
        </w:rPr>
        <w:t>Title</w:t>
      </w:r>
      <w:r w:rsidR="00081917">
        <w:rPr>
          <w:noProof/>
        </w:rPr>
        <w:t xml:space="preserve"> of document over two or three lines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15BD" w14:textId="77777777" w:rsidR="000F75FF" w:rsidRDefault="000F75FF" w:rsidP="008E21DE">
      <w:pPr>
        <w:spacing w:before="0" w:after="0"/>
      </w:pPr>
      <w:r>
        <w:separator/>
      </w:r>
    </w:p>
  </w:footnote>
  <w:footnote w:type="continuationSeparator" w:id="0">
    <w:p w14:paraId="0C7C7642" w14:textId="77777777" w:rsidR="000F75FF" w:rsidRDefault="000F75FF" w:rsidP="008E21DE">
      <w:pPr>
        <w:spacing w:before="0" w:after="0"/>
      </w:pPr>
      <w:r>
        <w:continuationSeparator/>
      </w:r>
    </w:p>
  </w:footnote>
  <w:footnote w:type="continuationNotice" w:id="1">
    <w:p w14:paraId="0A98F207" w14:textId="77777777" w:rsidR="000F75FF" w:rsidRDefault="000F75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6A33" w14:textId="5FC54BF4" w:rsidR="00601720" w:rsidRDefault="00601720">
    <w:pPr>
      <w:pStyle w:val="Header"/>
    </w:pPr>
    <w:r>
      <w:rPr>
        <w:noProof/>
      </w:rPr>
      <mc:AlternateContent>
        <mc:Choice Requires="wps">
          <w:drawing>
            <wp:anchor distT="0" distB="0" distL="114300" distR="114300" simplePos="0" relativeHeight="251661313" behindDoc="0" locked="1" layoutInCell="0" allowOverlap="1" wp14:anchorId="2EFFBF49" wp14:editId="0E3B98F8">
              <wp:simplePos x="0" y="0"/>
              <wp:positionH relativeFrom="margin">
                <wp:align>center</wp:align>
              </wp:positionH>
              <wp:positionV relativeFrom="topMargin">
                <wp:align>center</wp:align>
              </wp:positionV>
              <wp:extent cx="892175" cy="273050"/>
              <wp:effectExtent l="0" t="0" r="0" b="0"/>
              <wp:wrapNone/>
              <wp:docPr id="578249651"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B3CE02" w14:textId="02BAB17C"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FFBF49"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6131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31B3CE02" w14:textId="02BAB17C"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23F2" w14:textId="08EB7AD0" w:rsidR="00601720" w:rsidRDefault="00601720">
    <w:pPr>
      <w:pStyle w:val="Header"/>
    </w:pPr>
    <w:r>
      <w:rPr>
        <w:noProof/>
      </w:rPr>
      <mc:AlternateContent>
        <mc:Choice Requires="wps">
          <w:drawing>
            <wp:anchor distT="0" distB="0" distL="114300" distR="114300" simplePos="0" relativeHeight="251659265" behindDoc="0" locked="1" layoutInCell="0" allowOverlap="1" wp14:anchorId="4CD33DA0" wp14:editId="2CB17C72">
              <wp:simplePos x="0" y="0"/>
              <wp:positionH relativeFrom="margin">
                <wp:align>center</wp:align>
              </wp:positionH>
              <wp:positionV relativeFrom="topMargin">
                <wp:align>center</wp:align>
              </wp:positionV>
              <wp:extent cx="892175" cy="273050"/>
              <wp:effectExtent l="0" t="0" r="0" b="0"/>
              <wp:wrapNone/>
              <wp:docPr id="179173946"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FA2DC" w14:textId="0103A61C"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D33DA0" id="_x0000_t202" coordsize="21600,21600" o:spt="202" path="m,l,21600r21600,l21600,xe">
              <v:stroke joinstyle="miter"/>
              <v:path gradientshapeok="t" o:connecttype="rect"/>
            </v:shapetype>
            <v:shape id="janusSEAL SC Header" o:spid="_x0000_s1027" type="#_x0000_t202" style="position:absolute;margin-left:0;margin-top:0;width:70.25pt;height:21.5pt;z-index:25165926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61EFA2DC" w14:textId="0103A61C"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AE44" w14:textId="25E0D723" w:rsidR="003C1322" w:rsidRDefault="00601720" w:rsidP="003C1322">
    <w:pPr>
      <w:pStyle w:val="Header"/>
      <w:tabs>
        <w:tab w:val="clear" w:pos="9026"/>
        <w:tab w:val="right" w:pos="13892"/>
      </w:tabs>
      <w:jc w:val="center"/>
      <w:rPr>
        <w:rFonts w:ascii="Georgia" w:hAnsi="Georgia" w:cs="Arial"/>
        <w:b w:val="0"/>
        <w:noProof/>
        <w:color w:val="004855"/>
        <w:sz w:val="28"/>
        <w:szCs w:val="28"/>
        <w:lang w:eastAsia="en-AU"/>
      </w:rPr>
    </w:pPr>
    <w:r>
      <w:rPr>
        <w:noProof/>
        <w:color w:val="FF0000"/>
      </w:rPr>
      <mc:AlternateContent>
        <mc:Choice Requires="wps">
          <w:drawing>
            <wp:anchor distT="0" distB="0" distL="114300" distR="114300" simplePos="0" relativeHeight="251660289" behindDoc="0" locked="1" layoutInCell="0" allowOverlap="1" wp14:anchorId="5F0D5E80" wp14:editId="1B7B0E87">
              <wp:simplePos x="0" y="0"/>
              <wp:positionH relativeFrom="margin">
                <wp:align>center</wp:align>
              </wp:positionH>
              <wp:positionV relativeFrom="topMargin">
                <wp:posOffset>372110</wp:posOffset>
              </wp:positionV>
              <wp:extent cx="892175" cy="273050"/>
              <wp:effectExtent l="0" t="0" r="0" b="0"/>
              <wp:wrapNone/>
              <wp:docPr id="1824089892"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55D084" w14:textId="491CBFB4"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0D5E80" id="_x0000_t202" coordsize="21600,21600" o:spt="202" path="m,l,21600r21600,l21600,xe">
              <v:stroke joinstyle="miter"/>
              <v:path gradientshapeok="t" o:connecttype="rect"/>
            </v:shapetype>
            <v:shape id="janusSEAL SC H_FirstPage" o:spid="_x0000_s1030" type="#_x0000_t202" style="position:absolute;left:0;text-align:left;margin-left:0;margin-top:29.3pt;width:70.25pt;height:21.5pt;z-index:251660289;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" o:allowincell="f" filled="f" stroked="f" strokeweight=".5pt">
              <v:textbox style="mso-fit-shape-to-text:t">
                <w:txbxContent>
                  <w:p w14:paraId="7655D084" w14:textId="491CBFB4"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v:textbox>
              <w10:wrap anchorx="margin" anchory="margin"/>
              <w10:anchorlock/>
            </v:shape>
          </w:pict>
        </mc:Fallback>
      </mc:AlternateContent>
    </w:r>
  </w:p>
  <w:p w14:paraId="1CDD067B" w14:textId="2B91D507" w:rsidR="00CB7243" w:rsidRDefault="00CB7243" w:rsidP="00CB7243">
    <w:pPr>
      <w:pStyle w:val="Header"/>
      <w:tabs>
        <w:tab w:val="clear" w:pos="9026"/>
        <w:tab w:val="right" w:pos="13892"/>
      </w:tabs>
      <w:jc w:val="center"/>
      <w:rPr>
        <w:rFonts w:ascii="Georgia" w:hAnsi="Georgia" w:cs="Arial"/>
        <w:b w:val="0"/>
        <w:noProof/>
        <w:color w:val="004855"/>
        <w:sz w:val="28"/>
        <w:szCs w:val="28"/>
        <w:lang w:eastAsia="en-AU"/>
      </w:rPr>
    </w:pPr>
  </w:p>
  <w:p w14:paraId="22B245C7" w14:textId="10520A1D" w:rsidR="000E6484" w:rsidRDefault="00740D5B" w:rsidP="002A4D8E">
    <w:pPr>
      <w:pStyle w:val="Header"/>
      <w:ind w:hanging="1247"/>
      <w:jc w:val="both"/>
    </w:pPr>
    <w:r>
      <w:rPr>
        <w:noProof/>
        <w:lang w:eastAsia="en-AU"/>
      </w:rPr>
      <mc:AlternateContent>
        <mc:Choice Requires="wps">
          <w:drawing>
            <wp:anchor distT="0" distB="0" distL="114300" distR="114300" simplePos="0" relativeHeight="251658240" behindDoc="1" locked="0" layoutInCell="1" allowOverlap="1" wp14:anchorId="365AA5D8" wp14:editId="147CD1EA">
              <wp:simplePos x="0" y="0"/>
              <wp:positionH relativeFrom="column">
                <wp:posOffset>-791845</wp:posOffset>
              </wp:positionH>
              <wp:positionV relativeFrom="paragraph">
                <wp:posOffset>3342640</wp:posOffset>
              </wp:positionV>
              <wp:extent cx="7055543" cy="7054752"/>
              <wp:effectExtent l="76835" t="75565" r="31750" b="31750"/>
              <wp:wrapNone/>
              <wp:docPr id="6" name="Right Triangle 6"/>
              <wp:cNvGraphicFramePr/>
              <a:graphic xmlns:a="http://schemas.openxmlformats.org/drawingml/2006/main">
                <a:graphicData uri="http://schemas.microsoft.com/office/word/2010/wordprocessingShape">
                  <wps:wsp>
                    <wps:cNvSpPr/>
                    <wps:spPr>
                      <a:xfrm rot="16200000">
                        <a:off x="0" y="0"/>
                        <a:ext cx="7055543" cy="7054752"/>
                      </a:xfrm>
                      <a:prstGeom prst="rtTriangle">
                        <a:avLst/>
                      </a:prstGeom>
                      <a:solidFill>
                        <a:srgbClr val="F7941D">
                          <a:alpha val="80000"/>
                        </a:srgbClr>
                      </a:solidFill>
                      <a:ln w="539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CCE625"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62.35pt;margin-top:263.2pt;width:555.55pt;height:555.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" fillcolor="#f7941d" strokecolor="#f5f4f4 [1305]" strokeweight="4.25pt">
              <v:fill opacity="52428f"/>
            </v:shape>
          </w:pict>
        </mc:Fallback>
      </mc:AlternateContent>
    </w:r>
    <w:r w:rsidR="002A4D8E">
      <w:rPr>
        <w:noProof/>
        <w:lang w:eastAsia="en-AU"/>
      </w:rPr>
      <w:drawing>
        <wp:inline distT="0" distB="0" distL="0" distR="0" wp14:anchorId="627B5BF9" wp14:editId="1C61E45A">
          <wp:extent cx="4038600" cy="600896"/>
          <wp:effectExtent l="0" t="0" r="0" b="889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038600" cy="60089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8304" w14:textId="2CCB5604" w:rsidR="00CB7243" w:rsidRDefault="00601720" w:rsidP="003C1322">
    <w:pPr>
      <w:pStyle w:val="Header"/>
      <w:tabs>
        <w:tab w:val="clear" w:pos="9026"/>
        <w:tab w:val="right" w:pos="13892"/>
      </w:tabs>
      <w:jc w:val="center"/>
      <w:rPr>
        <w:rFonts w:ascii="Georgia" w:hAnsi="Georgia" w:cs="Arial"/>
        <w:b w:val="0"/>
        <w:noProof/>
        <w:color w:val="004855"/>
        <w:sz w:val="28"/>
        <w:szCs w:val="28"/>
        <w:lang w:eastAsia="en-AU"/>
      </w:rPr>
    </w:pPr>
    <w:r>
      <w:rPr>
        <w:noProof/>
        <w:color w:val="FF0000"/>
      </w:rPr>
      <mc:AlternateContent>
        <mc:Choice Requires="wps">
          <w:drawing>
            <wp:anchor distT="0" distB="0" distL="114300" distR="114300" simplePos="0" relativeHeight="251667457" behindDoc="0" locked="1" layoutInCell="0" allowOverlap="1" wp14:anchorId="669D947C" wp14:editId="78280776">
              <wp:simplePos x="0" y="0"/>
              <wp:positionH relativeFrom="margin">
                <wp:posOffset>2686050</wp:posOffset>
              </wp:positionH>
              <wp:positionV relativeFrom="topMargin">
                <wp:posOffset>234950</wp:posOffset>
              </wp:positionV>
              <wp:extent cx="892175" cy="273050"/>
              <wp:effectExtent l="0" t="0" r="0" b="0"/>
              <wp:wrapNone/>
              <wp:docPr id="1551945391"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0B057A" w14:textId="35AB572C"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69D947C" id="_x0000_t202" coordsize="21600,21600" o:spt="202" path="m,l,21600r21600,l21600,xe">
              <v:stroke joinstyle="miter"/>
              <v:path gradientshapeok="t" o:connecttype="rect"/>
            </v:shapetype>
            <v:shape id="_x0000_s1032" type="#_x0000_t202" style="position:absolute;left:0;text-align:left;margin-left:211.5pt;margin-top:18.5pt;width:70.25pt;height:21.5pt;z-index:251667457;visibility:visible;mso-wrap-style:non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" o:allowincell="f" filled="f" stroked="f" strokeweight=".5pt">
              <v:textbox style="mso-fit-shape-to-text:t">
                <w:txbxContent>
                  <w:p w14:paraId="700B057A" w14:textId="35AB572C"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v:textbox>
              <w10:wrap anchorx="margin" anchory="margin"/>
              <w10:anchorlock/>
            </v:shape>
          </w:pict>
        </mc:Fallback>
      </mc:AlternateContent>
    </w:r>
  </w:p>
  <w:p w14:paraId="3E08A889" w14:textId="77777777" w:rsidR="000E6484" w:rsidRDefault="000E64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A159" w14:textId="66107C4C" w:rsidR="00CB7243" w:rsidRDefault="00601720" w:rsidP="00CB7243">
    <w:pPr>
      <w:pStyle w:val="Header"/>
      <w:tabs>
        <w:tab w:val="clear" w:pos="9026"/>
        <w:tab w:val="right" w:pos="13892"/>
      </w:tabs>
      <w:jc w:val="center"/>
      <w:rPr>
        <w:rFonts w:ascii="Georgia" w:hAnsi="Georgia" w:cs="Arial"/>
        <w:b w:val="0"/>
        <w:noProof/>
        <w:color w:val="004855"/>
        <w:sz w:val="28"/>
        <w:szCs w:val="28"/>
        <w:lang w:eastAsia="en-AU"/>
      </w:rPr>
    </w:pPr>
    <w:r>
      <w:rPr>
        <w:noProof/>
        <w:color w:val="FF0000"/>
      </w:rPr>
      <mc:AlternateContent>
        <mc:Choice Requires="wps">
          <w:drawing>
            <wp:anchor distT="0" distB="0" distL="114300" distR="114300" simplePos="0" relativeHeight="251665409" behindDoc="0" locked="1" layoutInCell="0" allowOverlap="1" wp14:anchorId="70220C8A" wp14:editId="5B06FE10">
              <wp:simplePos x="0" y="0"/>
              <wp:positionH relativeFrom="margin">
                <wp:align>center</wp:align>
              </wp:positionH>
              <wp:positionV relativeFrom="topMargin">
                <wp:posOffset>339725</wp:posOffset>
              </wp:positionV>
              <wp:extent cx="892175" cy="273050"/>
              <wp:effectExtent l="0" t="0" r="0" b="0"/>
              <wp:wrapNone/>
              <wp:docPr id="2031982253"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EF7E41" w14:textId="00A887E9"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220C8A" id="_x0000_t202" coordsize="21600,21600" o:spt="202" path="m,l,21600r21600,l21600,xe">
              <v:stroke joinstyle="miter"/>
              <v:path gradientshapeok="t" o:connecttype="rect"/>
            </v:shapetype>
            <v:shape id="_x0000_s1033" type="#_x0000_t202" style="position:absolute;left:0;text-align:left;margin-left:0;margin-top:26.75pt;width:70.25pt;height:21.5pt;z-index:251665409;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" o:allowincell="f" filled="f" stroked="f" strokeweight=".5pt">
              <v:textbox style="mso-fit-shape-to-text:t">
                <w:txbxContent>
                  <w:p w14:paraId="00EF7E41" w14:textId="00A887E9"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v:textbox>
              <w10:wrap anchorx="margin" anchory="margin"/>
              <w10:anchorlock/>
            </v:shape>
          </w:pict>
        </mc:Fallback>
      </mc:AlternateContent>
    </w:r>
  </w:p>
  <w:p w14:paraId="5C37BEF7" w14:textId="77777777" w:rsidR="000E6484" w:rsidRPr="000E6484" w:rsidRDefault="000E6484" w:rsidP="000E64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ACAA" w14:textId="1417A9A6" w:rsidR="000E6484" w:rsidRPr="00080615" w:rsidRDefault="00601720" w:rsidP="00080615">
    <w:pPr>
      <w:pStyle w:val="Header"/>
    </w:pPr>
    <w:r>
      <w:rPr>
        <w:noProof/>
      </w:rPr>
      <mc:AlternateContent>
        <mc:Choice Requires="wps">
          <w:drawing>
            <wp:anchor distT="0" distB="0" distL="114300" distR="114300" simplePos="0" relativeHeight="251666433" behindDoc="0" locked="1" layoutInCell="0" allowOverlap="1" wp14:anchorId="6AD40C42" wp14:editId="0FF0F38C">
              <wp:simplePos x="0" y="0"/>
              <wp:positionH relativeFrom="margin">
                <wp:align>center</wp:align>
              </wp:positionH>
              <wp:positionV relativeFrom="topMargin">
                <wp:align>center</wp:align>
              </wp:positionV>
              <wp:extent cx="892175" cy="273050"/>
              <wp:effectExtent l="0" t="0" r="0" b="0"/>
              <wp:wrapNone/>
              <wp:docPr id="1787457192"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C8BF7" w14:textId="373BEB83"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D40C42" id="_x0000_t202" coordsize="21600,21600" o:spt="202" path="m,l,21600r21600,l21600,xe">
              <v:stroke joinstyle="miter"/>
              <v:path gradientshapeok="t" o:connecttype="rect"/>
            </v:shapetype>
            <v:shape id="_x0000_s1036" type="#_x0000_t202" style="position:absolute;margin-left:0;margin-top:0;width:70.25pt;height:21.5pt;z-index:25166643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4D0C8BF7" w14:textId="373BEB83" w:rsidR="00601720" w:rsidRPr="00601720" w:rsidRDefault="00601720" w:rsidP="00601720">
                    <w:pPr>
                      <w:spacing w:before="0" w:after="0"/>
                      <w:jc w:val="center"/>
                      <w:rPr>
                        <w:b/>
                        <w:color w:val="FF0000"/>
                        <w:sz w:val="24"/>
                      </w:rPr>
                    </w:pPr>
                    <w:r w:rsidRPr="00601720">
                      <w:rPr>
                        <w:b/>
                        <w:color w:val="FF0000"/>
                        <w:sz w:val="24"/>
                      </w:rPr>
                      <w:fldChar w:fldCharType="begin"/>
                    </w:r>
                    <w:r w:rsidRPr="00601720">
                      <w:rPr>
                        <w:b/>
                        <w:color w:val="FF0000"/>
                        <w:sz w:val="24"/>
                      </w:rPr>
                      <w:instrText xml:space="preserve"> DOCPROPERTY PM_ProtectiveMarkingValue_Header \* MERGEFORMAT </w:instrText>
                    </w:r>
                    <w:r w:rsidRPr="00601720">
                      <w:rPr>
                        <w:b/>
                        <w:color w:val="FF0000"/>
                        <w:sz w:val="24"/>
                      </w:rPr>
                      <w:fldChar w:fldCharType="separate"/>
                    </w:r>
                    <w:r w:rsidR="00DB5CD3">
                      <w:rPr>
                        <w:b/>
                        <w:color w:val="FF0000"/>
                        <w:sz w:val="24"/>
                      </w:rPr>
                      <w:t>OFFICIAL</w:t>
                    </w:r>
                    <w:r w:rsidRPr="00601720">
                      <w:rPr>
                        <w:b/>
                        <w:color w:val="FF0000"/>
                        <w:sz w:val="24"/>
                      </w:rPr>
                      <w:fldChar w:fldCharType="end"/>
                    </w:r>
                  </w:p>
                </w:txbxContent>
              </v:textbox>
              <w10:wrap anchorx="margin" anchory="margin"/>
              <w10:anchorlock/>
            </v:shape>
          </w:pict>
        </mc:Fallback>
      </mc:AlternateContent>
    </w:r>
    <w:r w:rsidR="000E6484" w:rsidRPr="00080615">
      <w:t>Client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30.75pt;height:17.25pt" o:bullet="t">
        <v:imagedata r:id="rId3" o:title="two-triangles-bullet-orange"/>
      </v:shape>
    </w:pict>
  </w:numPicBullet>
  <w:abstractNum w:abstractNumId="0" w15:restartNumberingAfterBreak="0">
    <w:nsid w:val="027B54B0"/>
    <w:multiLevelType w:val="hybridMultilevel"/>
    <w:tmpl w:val="31B8A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E7D" w:themeColor="text2"/>
      </w:rPr>
    </w:lvl>
    <w:lvl w:ilvl="2">
      <w:start w:val="1"/>
      <w:numFmt w:val="bullet"/>
      <w:lvlText w:val="»"/>
      <w:lvlJc w:val="left"/>
      <w:pPr>
        <w:ind w:left="852" w:hanging="284"/>
      </w:pPr>
      <w:rPr>
        <w:rFonts w:ascii="Arial" w:hAnsi="Arial" w:hint="default"/>
        <w:color w:val="004E7D"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0D32B68"/>
    <w:multiLevelType w:val="hybridMultilevel"/>
    <w:tmpl w:val="E83C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4E7D"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4E7D"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5A2E56"/>
    <w:multiLevelType w:val="hybridMultilevel"/>
    <w:tmpl w:val="12989192"/>
    <w:lvl w:ilvl="0" w:tplc="21726F7C">
      <w:start w:val="1"/>
      <w:numFmt w:val="bullet"/>
      <w:pStyle w:val="BulletsL2"/>
      <w:lvlText w:val="4"/>
      <w:lvlJc w:val="left"/>
      <w:pPr>
        <w:ind w:left="1080" w:hanging="360"/>
      </w:pPr>
      <w:rPr>
        <w:rFonts w:ascii="Webdings" w:hAnsi="Webdings" w:hint="default"/>
        <w:color w:val="00A6AA"/>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31E6D6B"/>
    <w:multiLevelType w:val="hybridMultilevel"/>
    <w:tmpl w:val="EE6AF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50250"/>
    <w:multiLevelType w:val="hybridMultilevel"/>
    <w:tmpl w:val="78A86214"/>
    <w:lvl w:ilvl="0" w:tplc="160E79DC">
      <w:start w:val="1"/>
      <w:numFmt w:val="bullet"/>
      <w:pStyle w:val="PullOut-DarkBlue"/>
      <w:lvlText w:val=""/>
      <w:lvlPicBulletId w:val="0"/>
      <w:lvlJc w:val="left"/>
      <w:pPr>
        <w:ind w:left="927" w:hanging="360"/>
      </w:pPr>
      <w:rPr>
        <w:rFonts w:ascii="Symbol" w:hAnsi="Symbol" w:hint="default"/>
        <w:color w:val="004E7D"/>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28487D1D"/>
    <w:multiLevelType w:val="hybridMultilevel"/>
    <w:tmpl w:val="0A98E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135EE6"/>
    <w:multiLevelType w:val="hybridMultilevel"/>
    <w:tmpl w:val="CF2E93F8"/>
    <w:lvl w:ilvl="0" w:tplc="1538653C">
      <w:start w:val="1"/>
      <w:numFmt w:val="bullet"/>
      <w:lvlText w:val=""/>
      <w:lvlJc w:val="left"/>
      <w:pPr>
        <w:ind w:left="720" w:hanging="360"/>
      </w:pPr>
      <w:rPr>
        <w:rFonts w:ascii="Symbol" w:hAnsi="Symbol" w:hint="default"/>
      </w:rPr>
    </w:lvl>
    <w:lvl w:ilvl="1" w:tplc="042A16C6">
      <w:start w:val="1"/>
      <w:numFmt w:val="bullet"/>
      <w:lvlText w:val="o"/>
      <w:lvlJc w:val="left"/>
      <w:pPr>
        <w:ind w:left="1440" w:hanging="360"/>
      </w:pPr>
      <w:rPr>
        <w:rFonts w:ascii="Courier New" w:hAnsi="Courier New" w:hint="default"/>
      </w:rPr>
    </w:lvl>
    <w:lvl w:ilvl="2" w:tplc="00DC4E0A">
      <w:start w:val="1"/>
      <w:numFmt w:val="bullet"/>
      <w:lvlText w:val=""/>
      <w:lvlJc w:val="left"/>
      <w:pPr>
        <w:ind w:left="2160" w:hanging="360"/>
      </w:pPr>
      <w:rPr>
        <w:rFonts w:ascii="Wingdings" w:hAnsi="Wingdings" w:hint="default"/>
      </w:rPr>
    </w:lvl>
    <w:lvl w:ilvl="3" w:tplc="60203FCC">
      <w:start w:val="1"/>
      <w:numFmt w:val="bullet"/>
      <w:lvlText w:val=""/>
      <w:lvlJc w:val="left"/>
      <w:pPr>
        <w:ind w:left="2880" w:hanging="360"/>
      </w:pPr>
      <w:rPr>
        <w:rFonts w:ascii="Symbol" w:hAnsi="Symbol" w:hint="default"/>
      </w:rPr>
    </w:lvl>
    <w:lvl w:ilvl="4" w:tplc="D4E4BD62">
      <w:start w:val="1"/>
      <w:numFmt w:val="bullet"/>
      <w:lvlText w:val="o"/>
      <w:lvlJc w:val="left"/>
      <w:pPr>
        <w:ind w:left="3600" w:hanging="360"/>
      </w:pPr>
      <w:rPr>
        <w:rFonts w:ascii="Courier New" w:hAnsi="Courier New" w:hint="default"/>
      </w:rPr>
    </w:lvl>
    <w:lvl w:ilvl="5" w:tplc="01D0F790">
      <w:start w:val="1"/>
      <w:numFmt w:val="bullet"/>
      <w:lvlText w:val=""/>
      <w:lvlJc w:val="left"/>
      <w:pPr>
        <w:ind w:left="4320" w:hanging="360"/>
      </w:pPr>
      <w:rPr>
        <w:rFonts w:ascii="Wingdings" w:hAnsi="Wingdings" w:hint="default"/>
      </w:rPr>
    </w:lvl>
    <w:lvl w:ilvl="6" w:tplc="F042D30A">
      <w:start w:val="1"/>
      <w:numFmt w:val="bullet"/>
      <w:lvlText w:val=""/>
      <w:lvlJc w:val="left"/>
      <w:pPr>
        <w:ind w:left="5040" w:hanging="360"/>
      </w:pPr>
      <w:rPr>
        <w:rFonts w:ascii="Symbol" w:hAnsi="Symbol" w:hint="default"/>
      </w:rPr>
    </w:lvl>
    <w:lvl w:ilvl="7" w:tplc="CF08F1C6">
      <w:start w:val="1"/>
      <w:numFmt w:val="bullet"/>
      <w:lvlText w:val="o"/>
      <w:lvlJc w:val="left"/>
      <w:pPr>
        <w:ind w:left="5760" w:hanging="360"/>
      </w:pPr>
      <w:rPr>
        <w:rFonts w:ascii="Courier New" w:hAnsi="Courier New" w:hint="default"/>
      </w:rPr>
    </w:lvl>
    <w:lvl w:ilvl="8" w:tplc="D848BCCE">
      <w:start w:val="1"/>
      <w:numFmt w:val="bullet"/>
      <w:lvlText w:val=""/>
      <w:lvlJc w:val="left"/>
      <w:pPr>
        <w:ind w:left="6480" w:hanging="360"/>
      </w:pPr>
      <w:rPr>
        <w:rFonts w:ascii="Wingdings" w:hAnsi="Wingdings" w:hint="default"/>
      </w:rPr>
    </w:lvl>
  </w:abstractNum>
  <w:abstractNum w:abstractNumId="1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1761EE"/>
    <w:multiLevelType w:val="multilevel"/>
    <w:tmpl w:val="131EEC6C"/>
    <w:numStyleLink w:val="TableNumbers"/>
  </w:abstractNum>
  <w:abstractNum w:abstractNumId="13" w15:restartNumberingAfterBreak="0">
    <w:nsid w:val="335A332E"/>
    <w:multiLevelType w:val="multilevel"/>
    <w:tmpl w:val="EDDCBB3C"/>
    <w:numStyleLink w:val="DefaultBullets"/>
  </w:abstractNum>
  <w:abstractNum w:abstractNumId="14" w15:restartNumberingAfterBreak="0">
    <w:nsid w:val="3D52278F"/>
    <w:multiLevelType w:val="hybridMultilevel"/>
    <w:tmpl w:val="ACAA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E7D" w:themeColor="text2"/>
      </w:rPr>
    </w:lvl>
    <w:lvl w:ilvl="3">
      <w:start w:val="1"/>
      <w:numFmt w:val="bullet"/>
      <w:lvlText w:val="»"/>
      <w:lvlJc w:val="left"/>
      <w:pPr>
        <w:ind w:left="794" w:hanging="510"/>
      </w:pPr>
      <w:rPr>
        <w:rFonts w:ascii="Arial" w:hAnsi="Arial" w:hint="default"/>
        <w:color w:val="004E7D"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1547F15"/>
    <w:multiLevelType w:val="hybridMultilevel"/>
    <w:tmpl w:val="C416F754"/>
    <w:lvl w:ilvl="0" w:tplc="DD0CD8FE">
      <w:start w:val="1"/>
      <w:numFmt w:val="bullet"/>
      <w:pStyle w:val="Bullet1"/>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AF0B00"/>
    <w:multiLevelType w:val="hybridMultilevel"/>
    <w:tmpl w:val="7A6AAA46"/>
    <w:lvl w:ilvl="0" w:tplc="EF621784">
      <w:start w:val="1"/>
      <w:numFmt w:val="bullet"/>
      <w:pStyle w:val="PullOut"/>
      <w:lvlText w:val=""/>
      <w:lvlPicBulletId w:val="2"/>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DB31D2"/>
    <w:multiLevelType w:val="hybridMultilevel"/>
    <w:tmpl w:val="035E8808"/>
    <w:lvl w:ilvl="0" w:tplc="4A5E83A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615703"/>
    <w:multiLevelType w:val="multilevel"/>
    <w:tmpl w:val="803CF862"/>
    <w:numStyleLink w:val="List1Numbered"/>
  </w:abstractNum>
  <w:abstractNum w:abstractNumId="22" w15:restartNumberingAfterBreak="0">
    <w:nsid w:val="594F6627"/>
    <w:multiLevelType w:val="hybridMultilevel"/>
    <w:tmpl w:val="77D82B46"/>
    <w:lvl w:ilvl="0" w:tplc="B66A71E0">
      <w:start w:val="1"/>
      <w:numFmt w:val="bullet"/>
      <w:pStyle w:val="PullOut-Orange"/>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F51665"/>
    <w:multiLevelType w:val="multilevel"/>
    <w:tmpl w:val="BA4CA9E6"/>
    <w:numStyleLink w:val="NumberedHeadings"/>
  </w:abstractNum>
  <w:abstractNum w:abstractNumId="24" w15:restartNumberingAfterBreak="0">
    <w:nsid w:val="5C283B55"/>
    <w:multiLevelType w:val="multilevel"/>
    <w:tmpl w:val="B29223F6"/>
    <w:numStyleLink w:val="FigureNumbers"/>
  </w:abstractNum>
  <w:abstractNum w:abstractNumId="25" w15:restartNumberingAfterBreak="0">
    <w:nsid w:val="738A4D83"/>
    <w:multiLevelType w:val="multilevel"/>
    <w:tmpl w:val="EDDCBB3C"/>
    <w:styleLink w:val="DefaultBullets"/>
    <w:lvl w:ilvl="0">
      <w:start w:val="1"/>
      <w:numFmt w:val="bullet"/>
      <w:lvlText w:val=""/>
      <w:lvlJc w:val="left"/>
      <w:pPr>
        <w:ind w:left="284" w:hanging="284"/>
      </w:pPr>
      <w:rPr>
        <w:rFonts w:ascii="Symbol" w:hAnsi="Symbol" w:hint="default"/>
        <w:color w:val="004E7D" w:themeColor="accent1"/>
      </w:rPr>
    </w:lvl>
    <w:lvl w:ilvl="1">
      <w:start w:val="1"/>
      <w:numFmt w:val="bullet"/>
      <w:pStyle w:val="Bullet2"/>
      <w:lvlText w:val="–"/>
      <w:lvlJc w:val="left"/>
      <w:pPr>
        <w:ind w:left="710" w:hanging="284"/>
      </w:pPr>
      <w:rPr>
        <w:rFonts w:ascii="Arial" w:hAnsi="Arial" w:hint="default"/>
        <w:color w:val="004E7D" w:themeColor="accent1"/>
      </w:rPr>
    </w:lvl>
    <w:lvl w:ilvl="2">
      <w:start w:val="1"/>
      <w:numFmt w:val="bullet"/>
      <w:pStyle w:val="Bullet3"/>
      <w:lvlText w:val="»"/>
      <w:lvlJc w:val="left"/>
      <w:pPr>
        <w:ind w:left="852" w:hanging="284"/>
      </w:pPr>
      <w:rPr>
        <w:rFonts w:ascii="Arial" w:hAnsi="Arial" w:hint="default"/>
        <w:color w:val="004E7D"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71245CB"/>
    <w:multiLevelType w:val="hybridMultilevel"/>
    <w:tmpl w:val="93C0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0B67C4"/>
    <w:multiLevelType w:val="multilevel"/>
    <w:tmpl w:val="FE688822"/>
    <w:numStyleLink w:val="BoxedBullets"/>
  </w:abstractNum>
  <w:abstractNum w:abstractNumId="28" w15:restartNumberingAfterBreak="0">
    <w:nsid w:val="7EE44065"/>
    <w:multiLevelType w:val="multilevel"/>
    <w:tmpl w:val="CC9AB0EE"/>
    <w:numStyleLink w:val="AppendixNumbers"/>
  </w:abstractNum>
  <w:num w:numId="1" w16cid:durableId="280573725">
    <w:abstractNumId w:val="1"/>
  </w:num>
  <w:num w:numId="2" w16cid:durableId="1030492014">
    <w:abstractNumId w:val="28"/>
  </w:num>
  <w:num w:numId="3" w16cid:durableId="720520220">
    <w:abstractNumId w:val="19"/>
  </w:num>
  <w:num w:numId="4" w16cid:durableId="287471185">
    <w:abstractNumId w:val="27"/>
  </w:num>
  <w:num w:numId="5" w16cid:durableId="1798447975">
    <w:abstractNumId w:val="15"/>
  </w:num>
  <w:num w:numId="6" w16cid:durableId="1123615939">
    <w:abstractNumId w:val="4"/>
  </w:num>
  <w:num w:numId="7" w16cid:durableId="525483617">
    <w:abstractNumId w:val="23"/>
  </w:num>
  <w:num w:numId="8" w16cid:durableId="94788625">
    <w:abstractNumId w:val="3"/>
  </w:num>
  <w:num w:numId="9" w16cid:durableId="1917934041">
    <w:abstractNumId w:val="21"/>
  </w:num>
  <w:num w:numId="10" w16cid:durableId="1227380652">
    <w:abstractNumId w:val="20"/>
  </w:num>
  <w:num w:numId="11" w16cid:durableId="1854756613">
    <w:abstractNumId w:val="11"/>
  </w:num>
  <w:num w:numId="12" w16cid:durableId="1459908698">
    <w:abstractNumId w:val="5"/>
  </w:num>
  <w:num w:numId="13" w16cid:durableId="1124273983">
    <w:abstractNumId w:val="25"/>
  </w:num>
  <w:num w:numId="14" w16cid:durableId="739332233">
    <w:abstractNumId w:val="13"/>
    <w:lvlOverride w:ilvl="0">
      <w:lvl w:ilvl="0">
        <w:numFmt w:val="decimal"/>
        <w:lvlText w:val=""/>
        <w:lvlJc w:val="left"/>
      </w:lvl>
    </w:lvlOverride>
    <w:lvlOverride w:ilvl="1">
      <w:lvl w:ilvl="1">
        <w:start w:val="1"/>
        <w:numFmt w:val="bullet"/>
        <w:pStyle w:val="Bullet2"/>
        <w:lvlText w:val="–"/>
        <w:lvlJc w:val="left"/>
        <w:pPr>
          <w:ind w:left="710" w:hanging="284"/>
        </w:pPr>
        <w:rPr>
          <w:rFonts w:ascii="Arial" w:hAnsi="Arial" w:hint="default"/>
          <w:color w:val="004E7D"/>
        </w:rPr>
      </w:lvl>
    </w:lvlOverride>
    <w:lvlOverride w:ilvl="2">
      <w:lvl w:ilvl="2">
        <w:start w:val="1"/>
        <w:numFmt w:val="bullet"/>
        <w:pStyle w:val="Bullet3"/>
        <w:lvlText w:val="»"/>
        <w:lvlJc w:val="left"/>
        <w:pPr>
          <w:ind w:left="852" w:hanging="284"/>
        </w:pPr>
        <w:rPr>
          <w:rFonts w:ascii="Arial" w:hAnsi="Arial" w:hint="default"/>
          <w:color w:val="004E7D" w:themeColor="accent1"/>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16cid:durableId="1684936441">
    <w:abstractNumId w:val="8"/>
  </w:num>
  <w:num w:numId="16" w16cid:durableId="1589193673">
    <w:abstractNumId w:val="22"/>
  </w:num>
  <w:num w:numId="17" w16cid:durableId="167521381">
    <w:abstractNumId w:val="24"/>
    <w:lvlOverride w:ilvl="0">
      <w:lvl w:ilvl="0">
        <w:start w:val="1"/>
        <w:numFmt w:val="decimal"/>
        <w:pStyle w:val="FigureTitle"/>
        <w:lvlText w:val="Figure %1."/>
        <w:lvlJc w:val="left"/>
        <w:pPr>
          <w:ind w:left="1134" w:hanging="1134"/>
        </w:pPr>
        <w:rPr>
          <w:rFonts w:hint="default"/>
          <w:b w:val="0"/>
          <w:i w:val="0"/>
          <w:caps w:val="0"/>
          <w:color w:val="004E7D"/>
        </w:rPr>
      </w:lvl>
    </w:lvlOverride>
  </w:num>
  <w:num w:numId="18" w16cid:durableId="1051222880">
    <w:abstractNumId w:val="12"/>
    <w:lvlOverride w:ilvl="0">
      <w:lvl w:ilvl="0">
        <w:start w:val="1"/>
        <w:numFmt w:val="decimal"/>
        <w:pStyle w:val="TableTitle"/>
        <w:lvlText w:val="Table %1."/>
        <w:lvlJc w:val="left"/>
        <w:pPr>
          <w:ind w:left="1134" w:hanging="1134"/>
        </w:pPr>
        <w:rPr>
          <w:rFonts w:hint="default"/>
          <w:b w:val="0"/>
          <w:i w:val="0"/>
          <w:caps w:val="0"/>
          <w:color w:val="004E7D"/>
        </w:rPr>
      </w:lvl>
    </w:lvlOverride>
  </w:num>
  <w:num w:numId="19" w16cid:durableId="696391818">
    <w:abstractNumId w:val="17"/>
  </w:num>
  <w:num w:numId="20" w16cid:durableId="494958376">
    <w:abstractNumId w:val="18"/>
  </w:num>
  <w:num w:numId="21" w16cid:durableId="71895409">
    <w:abstractNumId w:val="16"/>
  </w:num>
  <w:num w:numId="22" w16cid:durableId="1814639854">
    <w:abstractNumId w:val="6"/>
  </w:num>
  <w:num w:numId="23" w16cid:durableId="1462726076">
    <w:abstractNumId w:val="7"/>
  </w:num>
  <w:num w:numId="24" w16cid:durableId="1889803002">
    <w:abstractNumId w:val="2"/>
  </w:num>
  <w:num w:numId="25" w16cid:durableId="2083796094">
    <w:abstractNumId w:val="0"/>
  </w:num>
  <w:num w:numId="26" w16cid:durableId="1596745171">
    <w:abstractNumId w:val="10"/>
  </w:num>
  <w:num w:numId="27" w16cid:durableId="191697181">
    <w:abstractNumId w:val="9"/>
  </w:num>
  <w:num w:numId="28" w16cid:durableId="1321734728">
    <w:abstractNumId w:val="26"/>
  </w:num>
  <w:num w:numId="29" w16cid:durableId="99962315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5C"/>
    <w:rsid w:val="00080615"/>
    <w:rsid w:val="00081917"/>
    <w:rsid w:val="00082740"/>
    <w:rsid w:val="000C22AE"/>
    <w:rsid w:val="000E6484"/>
    <w:rsid w:val="000F75FF"/>
    <w:rsid w:val="001263FF"/>
    <w:rsid w:val="00134A9F"/>
    <w:rsid w:val="0016173C"/>
    <w:rsid w:val="001660DD"/>
    <w:rsid w:val="00191E17"/>
    <w:rsid w:val="001A25E6"/>
    <w:rsid w:val="001B6F18"/>
    <w:rsid w:val="001D0F56"/>
    <w:rsid w:val="001E3734"/>
    <w:rsid w:val="00205124"/>
    <w:rsid w:val="0020604E"/>
    <w:rsid w:val="0022021A"/>
    <w:rsid w:val="00254FC8"/>
    <w:rsid w:val="00264821"/>
    <w:rsid w:val="002804D3"/>
    <w:rsid w:val="00282FE0"/>
    <w:rsid w:val="002A4D8E"/>
    <w:rsid w:val="002C52B3"/>
    <w:rsid w:val="00362FAF"/>
    <w:rsid w:val="00371700"/>
    <w:rsid w:val="003917CF"/>
    <w:rsid w:val="003A01F8"/>
    <w:rsid w:val="003C1322"/>
    <w:rsid w:val="00400926"/>
    <w:rsid w:val="0040752F"/>
    <w:rsid w:val="004154E2"/>
    <w:rsid w:val="00443B77"/>
    <w:rsid w:val="00455BDC"/>
    <w:rsid w:val="00461F0B"/>
    <w:rsid w:val="00475B05"/>
    <w:rsid w:val="00481E2A"/>
    <w:rsid w:val="00482752"/>
    <w:rsid w:val="00483668"/>
    <w:rsid w:val="004C5497"/>
    <w:rsid w:val="004E3461"/>
    <w:rsid w:val="00507FB1"/>
    <w:rsid w:val="00510E2F"/>
    <w:rsid w:val="0051584F"/>
    <w:rsid w:val="00515DD2"/>
    <w:rsid w:val="00534638"/>
    <w:rsid w:val="00534D53"/>
    <w:rsid w:val="00535081"/>
    <w:rsid w:val="00566276"/>
    <w:rsid w:val="00590BD2"/>
    <w:rsid w:val="005B368D"/>
    <w:rsid w:val="00601720"/>
    <w:rsid w:val="0061351C"/>
    <w:rsid w:val="006F067E"/>
    <w:rsid w:val="0070567F"/>
    <w:rsid w:val="007062E4"/>
    <w:rsid w:val="00725766"/>
    <w:rsid w:val="00740D5B"/>
    <w:rsid w:val="00746530"/>
    <w:rsid w:val="0075611B"/>
    <w:rsid w:val="007824D8"/>
    <w:rsid w:val="007913F1"/>
    <w:rsid w:val="007B0FF9"/>
    <w:rsid w:val="007C27F9"/>
    <w:rsid w:val="007D61AC"/>
    <w:rsid w:val="008270E6"/>
    <w:rsid w:val="0086249B"/>
    <w:rsid w:val="00880543"/>
    <w:rsid w:val="008D6A37"/>
    <w:rsid w:val="008E21DE"/>
    <w:rsid w:val="008E6967"/>
    <w:rsid w:val="008F43FE"/>
    <w:rsid w:val="00933C25"/>
    <w:rsid w:val="00952EA0"/>
    <w:rsid w:val="00957ABE"/>
    <w:rsid w:val="00957F4E"/>
    <w:rsid w:val="0096035C"/>
    <w:rsid w:val="0098360F"/>
    <w:rsid w:val="009A57B3"/>
    <w:rsid w:val="009A767B"/>
    <w:rsid w:val="009D36C6"/>
    <w:rsid w:val="009F5390"/>
    <w:rsid w:val="00A07E4A"/>
    <w:rsid w:val="00A3784B"/>
    <w:rsid w:val="00A53B5A"/>
    <w:rsid w:val="00A63121"/>
    <w:rsid w:val="00A91766"/>
    <w:rsid w:val="00A95221"/>
    <w:rsid w:val="00AB04EC"/>
    <w:rsid w:val="00AB12D5"/>
    <w:rsid w:val="00AC04FC"/>
    <w:rsid w:val="00AC3571"/>
    <w:rsid w:val="00AC3A82"/>
    <w:rsid w:val="00AF0899"/>
    <w:rsid w:val="00AF4AAB"/>
    <w:rsid w:val="00AF4B2E"/>
    <w:rsid w:val="00B16909"/>
    <w:rsid w:val="00B344CD"/>
    <w:rsid w:val="00B603C0"/>
    <w:rsid w:val="00B76AF0"/>
    <w:rsid w:val="00B952E4"/>
    <w:rsid w:val="00BD6A84"/>
    <w:rsid w:val="00C0421C"/>
    <w:rsid w:val="00C4130B"/>
    <w:rsid w:val="00C5019E"/>
    <w:rsid w:val="00C5111D"/>
    <w:rsid w:val="00C76B83"/>
    <w:rsid w:val="00C81293"/>
    <w:rsid w:val="00C90CF3"/>
    <w:rsid w:val="00C96B1F"/>
    <w:rsid w:val="00CB7243"/>
    <w:rsid w:val="00CC66EB"/>
    <w:rsid w:val="00D31214"/>
    <w:rsid w:val="00D373F7"/>
    <w:rsid w:val="00D40395"/>
    <w:rsid w:val="00D971D6"/>
    <w:rsid w:val="00DB5CD3"/>
    <w:rsid w:val="00DB641B"/>
    <w:rsid w:val="00DE0584"/>
    <w:rsid w:val="00DF74BA"/>
    <w:rsid w:val="00E02B18"/>
    <w:rsid w:val="00E27B6E"/>
    <w:rsid w:val="00E80287"/>
    <w:rsid w:val="00EF5040"/>
    <w:rsid w:val="00EF7260"/>
    <w:rsid w:val="00F0567D"/>
    <w:rsid w:val="00F24A58"/>
    <w:rsid w:val="00F87457"/>
    <w:rsid w:val="00F9318C"/>
    <w:rsid w:val="00F97825"/>
    <w:rsid w:val="00FD4635"/>
    <w:rsid w:val="00FD5AE9"/>
    <w:rsid w:val="1A7D3F45"/>
    <w:rsid w:val="32451168"/>
    <w:rsid w:val="3F765FBA"/>
    <w:rsid w:val="438AFC11"/>
    <w:rsid w:val="4F3AECEF"/>
    <w:rsid w:val="5D40F2DA"/>
    <w:rsid w:val="61161A31"/>
    <w:rsid w:val="7D325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2CC4433B"/>
  <w15:docId w15:val="{B35B418F-05CD-4CF4-BA58-DB9E5F94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740"/>
    <w:rPr>
      <w:color w:val="000000"/>
    </w:rPr>
  </w:style>
  <w:style w:type="paragraph" w:styleId="Heading1">
    <w:name w:val="heading 1"/>
    <w:basedOn w:val="Normal"/>
    <w:next w:val="Normal"/>
    <w:link w:val="Heading1Char"/>
    <w:uiPriority w:val="9"/>
    <w:qFormat/>
    <w:rsid w:val="002A4D8E"/>
    <w:pPr>
      <w:keepNext/>
      <w:keepLines/>
      <w:pageBreakBefore/>
      <w:spacing w:before="0" w:after="18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A53B5A"/>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F87457"/>
    <w:pPr>
      <w:keepNext/>
      <w:keepLines/>
      <w:spacing w:before="480" w:after="240" w:line="380" w:lineRule="atLeast"/>
      <w:outlineLvl w:val="2"/>
    </w:pPr>
    <w:rPr>
      <w:rFonts w:asciiTheme="majorHAnsi" w:eastAsiaTheme="majorEastAsia" w:hAnsiTheme="majorHAnsi" w:cstheme="majorBidi"/>
      <w:color w:val="004E7D"/>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26482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A53B5A"/>
    <w:rPr>
      <w:rFonts w:asciiTheme="majorHAnsi" w:eastAsiaTheme="majorEastAsia" w:hAnsiTheme="majorHAnsi" w:cstheme="majorBidi"/>
      <w:color w:val="004E7D"/>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2E2FF" w:themeColor="accent1" w:themeTint="33"/>
        <w:left w:val="single" w:sz="4" w:space="14" w:color="B2E2FF" w:themeColor="accent1" w:themeTint="33"/>
        <w:bottom w:val="single" w:sz="4" w:space="14" w:color="B2E2FF" w:themeColor="accent1" w:themeTint="33"/>
        <w:right w:val="single" w:sz="4" w:space="14" w:color="B2E2FF" w:themeColor="accent1" w:themeTint="33"/>
      </w:pBdr>
      <w:shd w:val="clear" w:color="auto" w:fill="B2E2FF"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4E7D" w:themeColor="accent1"/>
        <w:left w:val="single" w:sz="4" w:space="14" w:color="004E7D" w:themeColor="accent1"/>
        <w:bottom w:val="single" w:sz="4" w:space="14" w:color="004E7D" w:themeColor="accent1"/>
        <w:right w:val="single" w:sz="4" w:space="14" w:color="004E7D"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BD6A84"/>
    <w:pPr>
      <w:numPr>
        <w:numId w:val="21"/>
      </w:numPr>
    </w:pPr>
  </w:style>
  <w:style w:type="paragraph" w:customStyle="1" w:styleId="Bullet2">
    <w:name w:val="Bullet 2"/>
    <w:basedOn w:val="Normal"/>
    <w:uiPriority w:val="2"/>
    <w:qFormat/>
    <w:rsid w:val="00507FB1"/>
    <w:pPr>
      <w:numPr>
        <w:ilvl w:val="1"/>
        <w:numId w:val="14"/>
      </w:numPr>
    </w:pPr>
  </w:style>
  <w:style w:type="paragraph" w:customStyle="1" w:styleId="Bullet3">
    <w:name w:val="Bullet 3"/>
    <w:basedOn w:val="Normal"/>
    <w:uiPriority w:val="2"/>
    <w:qFormat/>
    <w:rsid w:val="00507FB1"/>
    <w:pPr>
      <w:numPr>
        <w:ilvl w:val="2"/>
        <w:numId w:val="14"/>
      </w:numPr>
    </w:pPr>
  </w:style>
  <w:style w:type="paragraph" w:styleId="Caption">
    <w:name w:val="caption"/>
    <w:basedOn w:val="Normal"/>
    <w:next w:val="Normal"/>
    <w:uiPriority w:val="19"/>
    <w:qFormat/>
    <w:rsid w:val="004C5497"/>
    <w:pPr>
      <w:spacing w:before="180" w:after="480" w:line="200" w:lineRule="atLeast"/>
      <w:ind w:right="2268"/>
    </w:pPr>
    <w:rPr>
      <w:rFonts w:asciiTheme="majorHAnsi" w:hAnsiTheme="majorHAnsi"/>
      <w:iCs/>
      <w:color w:val="004E7D"/>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E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E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E7D" w:themeFill="accent1"/>
      </w:tcPr>
    </w:tblStylePr>
    <w:tblStylePr w:type="band1Vert">
      <w:tblPr/>
      <w:tcPr>
        <w:shd w:val="clear" w:color="auto" w:fill="65C5FF" w:themeFill="accent1" w:themeFillTint="66"/>
      </w:tcPr>
    </w:tblStylePr>
    <w:tblStylePr w:type="band1Horz">
      <w:tblPr/>
      <w:tcPr>
        <w:shd w:val="clear" w:color="auto" w:fill="65C5FF"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E7D"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7D"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2E2FF" w:themeFill="accent1" w:themeFillTint="33"/>
      </w:tcPr>
    </w:tblStylePr>
    <w:tblStylePr w:type="band2Vert">
      <w:tblPr/>
      <w:tcPr>
        <w:shd w:val="clear" w:color="auto" w:fill="65C5FF" w:themeFill="accent1" w:themeFillTint="66"/>
      </w:tcPr>
    </w:tblStylePr>
    <w:tblStylePr w:type="band1Horz">
      <w:tblPr/>
      <w:tcPr>
        <w:shd w:val="clear" w:color="auto" w:fill="B2E2FF" w:themeFill="accent1" w:themeFillTint="33"/>
      </w:tcPr>
    </w:tblStylePr>
    <w:tblStylePr w:type="band2Horz">
      <w:tblPr/>
      <w:tcPr>
        <w:shd w:val="clear" w:color="auto" w:fill="65C5FF"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8E6967"/>
    <w:pPr>
      <w:numPr>
        <w:numId w:val="6"/>
      </w:numPr>
    </w:pPr>
  </w:style>
  <w:style w:type="paragraph" w:customStyle="1" w:styleId="FigureTitle">
    <w:name w:val="Figure Title"/>
    <w:basedOn w:val="Normal"/>
    <w:uiPriority w:val="12"/>
    <w:qFormat/>
    <w:rsid w:val="00F87457"/>
    <w:pPr>
      <w:keepNext/>
      <w:numPr>
        <w:numId w:val="17"/>
      </w:numPr>
      <w:spacing w:before="240"/>
    </w:pPr>
    <w:rPr>
      <w:rFonts w:asciiTheme="majorHAnsi" w:hAnsiTheme="majorHAnsi"/>
      <w:color w:val="004E7D"/>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2A4D8E"/>
    <w:rPr>
      <w:rFonts w:asciiTheme="majorHAnsi" w:eastAsiaTheme="majorEastAsia" w:hAnsiTheme="majorHAnsi" w:cstheme="majorBidi"/>
      <w:b/>
      <w:color w:val="004E7D"/>
      <w:sz w:val="48"/>
      <w:szCs w:val="32"/>
    </w:rPr>
  </w:style>
  <w:style w:type="paragraph" w:customStyle="1" w:styleId="Heading1Numbered">
    <w:name w:val="Heading 1 Numbered"/>
    <w:basedOn w:val="Heading1"/>
    <w:uiPriority w:val="10"/>
    <w:qFormat/>
    <w:rsid w:val="00400926"/>
    <w:pPr>
      <w:numPr>
        <w:numId w:val="7"/>
      </w:numPr>
      <w:ind w:left="0" w:firstLine="0"/>
    </w:pPr>
  </w:style>
  <w:style w:type="paragraph" w:customStyle="1" w:styleId="Heading2Numbered">
    <w:name w:val="Heading 2 Numbered"/>
    <w:basedOn w:val="Heading2"/>
    <w:uiPriority w:val="10"/>
    <w:qFormat/>
    <w:rsid w:val="00400926"/>
    <w:pPr>
      <w:numPr>
        <w:ilvl w:val="1"/>
        <w:numId w:val="7"/>
      </w:numPr>
    </w:pPr>
  </w:style>
  <w:style w:type="character" w:customStyle="1" w:styleId="Heading3Char">
    <w:name w:val="Heading 3 Char"/>
    <w:basedOn w:val="DefaultParagraphFont"/>
    <w:link w:val="Heading3"/>
    <w:uiPriority w:val="9"/>
    <w:rsid w:val="00F87457"/>
    <w:rPr>
      <w:rFonts w:asciiTheme="majorHAnsi" w:eastAsiaTheme="majorEastAsia" w:hAnsiTheme="majorHAnsi" w:cstheme="majorBidi"/>
      <w:color w:val="004E7D"/>
      <w:sz w:val="32"/>
      <w:szCs w:val="24"/>
    </w:rPr>
  </w:style>
  <w:style w:type="paragraph" w:customStyle="1" w:styleId="Heading3Numbered">
    <w:name w:val="Heading 3 Numbered"/>
    <w:basedOn w:val="Heading3"/>
    <w:uiPriority w:val="10"/>
    <w:qFormat/>
    <w:rsid w:val="00400926"/>
    <w:pPr>
      <w:numPr>
        <w:ilvl w:val="2"/>
        <w:numId w:val="7"/>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7"/>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7"/>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7"/>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7"/>
      </w:numPr>
    </w:pPr>
  </w:style>
  <w:style w:type="character" w:styleId="Hyperlink">
    <w:name w:val="Hyperlink"/>
    <w:basedOn w:val="DefaultParagraphFont"/>
    <w:uiPriority w:val="99"/>
    <w:unhideWhenUsed/>
    <w:rsid w:val="00DB641B"/>
    <w:rPr>
      <w:color w:val="004E7D"/>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F87457"/>
    <w:pPr>
      <w:spacing w:before="240" w:after="240"/>
      <w:contextualSpacing/>
    </w:pPr>
    <w:rPr>
      <w:rFonts w:asciiTheme="majorHAnsi" w:hAnsiTheme="majorHAnsi"/>
      <w:color w:val="004E7D"/>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10"/>
      </w:numPr>
    </w:pPr>
  </w:style>
  <w:style w:type="paragraph" w:customStyle="1" w:styleId="PullOut-DarkBlue">
    <w:name w:val="Pull Out - Dark Blue"/>
    <w:basedOn w:val="Normal"/>
    <w:uiPriority w:val="22"/>
    <w:rsid w:val="00081917"/>
    <w:pPr>
      <w:numPr>
        <w:numId w:val="15"/>
      </w:numPr>
      <w:spacing w:before="480" w:after="480" w:line="340" w:lineRule="atLeast"/>
      <w:ind w:left="1247" w:hanging="1247"/>
    </w:pPr>
    <w:rPr>
      <w:color w:val="004E7D"/>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4C5497"/>
    <w:pPr>
      <w:keepLines/>
      <w:numPr>
        <w:ilvl w:val="1"/>
      </w:numPr>
      <w:spacing w:before="360" w:after="360" w:line="280" w:lineRule="exact"/>
      <w:contextualSpacing/>
    </w:pPr>
    <w:rPr>
      <w:rFonts w:eastAsiaTheme="minorEastAsia"/>
      <w:color w:val="004E7D"/>
      <w:sz w:val="24"/>
    </w:rPr>
  </w:style>
  <w:style w:type="character" w:customStyle="1" w:styleId="SubtitleChar">
    <w:name w:val="Subtitle Char"/>
    <w:basedOn w:val="DefaultParagraphFont"/>
    <w:link w:val="Subtitle"/>
    <w:uiPriority w:val="23"/>
    <w:rsid w:val="004C5497"/>
    <w:rPr>
      <w:rFonts w:eastAsiaTheme="minorEastAsia"/>
      <w:color w:val="004E7D"/>
      <w:sz w:val="24"/>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8"/>
      </w:numPr>
    </w:pPr>
  </w:style>
  <w:style w:type="paragraph" w:styleId="Title">
    <w:name w:val="Title"/>
    <w:basedOn w:val="Normal"/>
    <w:next w:val="Normal"/>
    <w:link w:val="TitleChar"/>
    <w:uiPriority w:val="22"/>
    <w:qFormat/>
    <w:rsid w:val="004C5497"/>
    <w:pPr>
      <w:keepLines/>
      <w:spacing w:before="0" w:after="360" w:line="640" w:lineRule="exact"/>
      <w:contextualSpacing/>
      <w:outlineLvl w:val="0"/>
    </w:pPr>
    <w:rPr>
      <w:rFonts w:asciiTheme="majorHAnsi" w:eastAsiaTheme="majorEastAsia" w:hAnsiTheme="majorHAnsi" w:cstheme="majorBidi"/>
      <w:color w:val="004E7D"/>
      <w:kern w:val="28"/>
      <w:sz w:val="60"/>
      <w:szCs w:val="56"/>
    </w:rPr>
  </w:style>
  <w:style w:type="character" w:customStyle="1" w:styleId="TitleChar">
    <w:name w:val="Title Char"/>
    <w:basedOn w:val="DefaultParagraphFont"/>
    <w:link w:val="Title"/>
    <w:uiPriority w:val="22"/>
    <w:rsid w:val="004C5497"/>
    <w:rPr>
      <w:rFonts w:asciiTheme="majorHAnsi" w:eastAsiaTheme="majorEastAsia" w:hAnsiTheme="majorHAnsi" w:cstheme="majorBidi"/>
      <w:color w:val="004E7D"/>
      <w:kern w:val="28"/>
      <w:sz w:val="60"/>
      <w:szCs w:val="56"/>
    </w:rPr>
  </w:style>
  <w:style w:type="paragraph" w:styleId="TOC1">
    <w:name w:val="toc 1"/>
    <w:basedOn w:val="Normal"/>
    <w:next w:val="Normal"/>
    <w:autoRedefine/>
    <w:uiPriority w:val="39"/>
    <w:rsid w:val="002A4D8E"/>
    <w:pPr>
      <w:keepNext/>
      <w:tabs>
        <w:tab w:val="left" w:pos="567"/>
        <w:tab w:val="right" w:pos="9628"/>
      </w:tabs>
      <w:spacing w:line="340" w:lineRule="atLeast"/>
    </w:pPr>
    <w:rPr>
      <w:rFonts w:asciiTheme="majorHAnsi" w:hAnsiTheme="majorHAnsi"/>
      <w:b/>
      <w:noProof/>
      <w:color w:val="004E7D"/>
      <w:sz w:val="26"/>
    </w:rPr>
  </w:style>
  <w:style w:type="paragraph" w:styleId="TOC2">
    <w:name w:val="toc 2"/>
    <w:basedOn w:val="Normal"/>
    <w:next w:val="Normal"/>
    <w:autoRedefine/>
    <w:uiPriority w:val="39"/>
    <w:rsid w:val="003917CF"/>
    <w:pPr>
      <w:pBdr>
        <w:between w:val="single" w:sz="8" w:space="1" w:color="004E7D"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2A4D8E"/>
    <w:pPr>
      <w:outlineLvl w:val="9"/>
    </w:pPr>
  </w:style>
  <w:style w:type="numbering" w:customStyle="1" w:styleId="DefaultBullets">
    <w:name w:val="Default Bullets"/>
    <w:uiPriority w:val="99"/>
    <w:rsid w:val="00507FB1"/>
    <w:pPr>
      <w:numPr>
        <w:numId w:val="13"/>
      </w:numPr>
    </w:pPr>
  </w:style>
  <w:style w:type="paragraph" w:customStyle="1" w:styleId="PullOut-Orange">
    <w:name w:val="Pull Out - Orange"/>
    <w:basedOn w:val="PullOut-DarkBlue"/>
    <w:uiPriority w:val="22"/>
    <w:rsid w:val="00081917"/>
    <w:pPr>
      <w:numPr>
        <w:numId w:val="16"/>
      </w:numPr>
      <w:ind w:left="1247" w:hanging="1247"/>
    </w:pPr>
  </w:style>
  <w:style w:type="paragraph" w:customStyle="1" w:styleId="PullOut">
    <w:name w:val="Pull Out"/>
    <w:basedOn w:val="Heading8"/>
    <w:next w:val="Normal"/>
    <w:qFormat/>
    <w:rsid w:val="00482752"/>
    <w:pPr>
      <w:numPr>
        <w:numId w:val="19"/>
      </w:numPr>
      <w:spacing w:before="480" w:after="480" w:line="340" w:lineRule="atLeast"/>
      <w:ind w:left="1247" w:hanging="1247"/>
      <w:outlineLvl w:val="9"/>
    </w:pPr>
    <w:rPr>
      <w:color w:val="004E7D" w:themeColor="text2"/>
      <w:sz w:val="28"/>
    </w:rPr>
  </w:style>
  <w:style w:type="paragraph" w:styleId="IntenseQuote">
    <w:name w:val="Intense Quote"/>
    <w:basedOn w:val="Normal"/>
    <w:next w:val="Normal"/>
    <w:link w:val="IntenseQuoteChar"/>
    <w:uiPriority w:val="30"/>
    <w:qFormat/>
    <w:rsid w:val="004C5497"/>
    <w:pPr>
      <w:pBdr>
        <w:top w:val="single" w:sz="4" w:space="10" w:color="004E7D" w:themeColor="accent1"/>
        <w:bottom w:val="single" w:sz="4" w:space="10" w:color="004E7D" w:themeColor="accent1"/>
      </w:pBdr>
      <w:spacing w:before="360" w:after="360"/>
      <w:ind w:left="864" w:right="864"/>
      <w:jc w:val="center"/>
    </w:pPr>
    <w:rPr>
      <w:i/>
      <w:iCs/>
      <w:color w:val="004E7D"/>
    </w:rPr>
  </w:style>
  <w:style w:type="character" w:customStyle="1" w:styleId="IntenseQuoteChar">
    <w:name w:val="Intense Quote Char"/>
    <w:basedOn w:val="DefaultParagraphFont"/>
    <w:link w:val="IntenseQuote"/>
    <w:uiPriority w:val="30"/>
    <w:rsid w:val="004C5497"/>
    <w:rPr>
      <w:i/>
      <w:iCs/>
      <w:color w:val="004E7D"/>
    </w:rPr>
  </w:style>
  <w:style w:type="character" w:styleId="IntenseReference">
    <w:name w:val="Intense Reference"/>
    <w:basedOn w:val="DefaultParagraphFont"/>
    <w:uiPriority w:val="32"/>
    <w:qFormat/>
    <w:rsid w:val="004C5497"/>
    <w:rPr>
      <w:b/>
      <w:bCs/>
      <w:smallCaps/>
      <w:color w:val="004E7D"/>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character" w:styleId="UnresolvedMention">
    <w:name w:val="Unresolved Mention"/>
    <w:basedOn w:val="DefaultParagraphFont"/>
    <w:uiPriority w:val="99"/>
    <w:semiHidden/>
    <w:unhideWhenUsed/>
    <w:rsid w:val="00082740"/>
    <w:rPr>
      <w:color w:val="605E5C"/>
      <w:shd w:val="clear" w:color="auto" w:fill="E1DFDD"/>
    </w:rPr>
  </w:style>
  <w:style w:type="paragraph" w:styleId="ListParagraph">
    <w:name w:val="List Paragraph"/>
    <w:aliases w:val="L"/>
    <w:basedOn w:val="Normal"/>
    <w:link w:val="ListParagraphChar"/>
    <w:uiPriority w:val="34"/>
    <w:qFormat/>
    <w:rsid w:val="00F24A58"/>
    <w:pPr>
      <w:numPr>
        <w:numId w:val="20"/>
      </w:numPr>
      <w:contextualSpacing/>
    </w:pPr>
  </w:style>
  <w:style w:type="character" w:customStyle="1" w:styleId="Heading8Char">
    <w:name w:val="Heading 8 Char"/>
    <w:basedOn w:val="DefaultParagraphFont"/>
    <w:link w:val="Heading8"/>
    <w:uiPriority w:val="9"/>
    <w:semiHidden/>
    <w:rsid w:val="00264821"/>
    <w:rPr>
      <w:rFonts w:asciiTheme="majorHAnsi" w:eastAsiaTheme="majorEastAsia" w:hAnsiTheme="majorHAnsi" w:cstheme="majorBidi"/>
      <w:color w:val="272727" w:themeColor="text1" w:themeTint="D8"/>
      <w:sz w:val="21"/>
      <w:szCs w:val="21"/>
    </w:rPr>
  </w:style>
  <w:style w:type="paragraph" w:customStyle="1" w:styleId="BulletsL2">
    <w:name w:val="Bullets L2"/>
    <w:basedOn w:val="Normal"/>
    <w:link w:val="BulletsL2Char"/>
    <w:qFormat/>
    <w:rsid w:val="00AC3A82"/>
    <w:pPr>
      <w:numPr>
        <w:numId w:val="22"/>
      </w:numPr>
      <w:spacing w:before="40" w:line="280" w:lineRule="exact"/>
    </w:pPr>
    <w:rPr>
      <w:rFonts w:ascii="Arial" w:hAnsi="Arial"/>
      <w:color w:val="auto"/>
      <w:lang w:val="en-US"/>
    </w:rPr>
  </w:style>
  <w:style w:type="character" w:customStyle="1" w:styleId="BulletsL2Char">
    <w:name w:val="Bullets L2 Char"/>
    <w:basedOn w:val="DefaultParagraphFont"/>
    <w:link w:val="BulletsL2"/>
    <w:rsid w:val="00AC3A82"/>
    <w:rPr>
      <w:rFonts w:ascii="Arial" w:hAnsi="Arial"/>
      <w:color w:val="auto"/>
      <w:lang w:val="en-US"/>
    </w:rPr>
  </w:style>
  <w:style w:type="character" w:styleId="CommentReference">
    <w:name w:val="annotation reference"/>
    <w:basedOn w:val="DefaultParagraphFont"/>
    <w:uiPriority w:val="99"/>
    <w:semiHidden/>
    <w:unhideWhenUsed/>
    <w:rsid w:val="00A3784B"/>
    <w:rPr>
      <w:sz w:val="16"/>
      <w:szCs w:val="16"/>
    </w:rPr>
  </w:style>
  <w:style w:type="paragraph" w:styleId="CommentText">
    <w:name w:val="annotation text"/>
    <w:basedOn w:val="Normal"/>
    <w:link w:val="CommentTextChar"/>
    <w:uiPriority w:val="99"/>
    <w:unhideWhenUsed/>
    <w:rsid w:val="00A3784B"/>
    <w:rPr>
      <w:color w:val="000000" w:themeColor="text1"/>
      <w:sz w:val="20"/>
      <w:szCs w:val="20"/>
    </w:rPr>
  </w:style>
  <w:style w:type="character" w:customStyle="1" w:styleId="CommentTextChar">
    <w:name w:val="Comment Text Char"/>
    <w:basedOn w:val="DefaultParagraphFont"/>
    <w:link w:val="CommentText"/>
    <w:uiPriority w:val="99"/>
    <w:rsid w:val="00A3784B"/>
    <w:rPr>
      <w:sz w:val="20"/>
      <w:szCs w:val="20"/>
    </w:rPr>
  </w:style>
  <w:style w:type="paragraph" w:styleId="Revision">
    <w:name w:val="Revision"/>
    <w:hidden/>
    <w:uiPriority w:val="99"/>
    <w:semiHidden/>
    <w:rsid w:val="00566276"/>
    <w:pPr>
      <w:spacing w:before="0" w:after="0"/>
    </w:pPr>
    <w:rPr>
      <w:color w:val="000000"/>
    </w:rPr>
  </w:style>
  <w:style w:type="character" w:customStyle="1" w:styleId="ListParagraphChar">
    <w:name w:val="List Paragraph Char"/>
    <w:aliases w:val="L Char"/>
    <w:basedOn w:val="DefaultParagraphFont"/>
    <w:link w:val="ListParagraph"/>
    <w:uiPriority w:val="34"/>
    <w:rsid w:val="00191E17"/>
    <w:rPr>
      <w:color w:val="000000"/>
    </w:rPr>
  </w:style>
  <w:style w:type="character" w:customStyle="1" w:styleId="cf01">
    <w:name w:val="cf01"/>
    <w:basedOn w:val="DefaultParagraphFont"/>
    <w:rsid w:val="00C812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eqsa.gov.au/ServiceCharterReview" TargetMode="External"/><Relationship Id="rId26" Type="http://schemas.openxmlformats.org/officeDocument/2006/relationships/hyperlink" Target="mailto:standards@teqsa.gov.au" TargetMode="External"/><Relationship Id="rId39" Type="http://schemas.openxmlformats.org/officeDocument/2006/relationships/hyperlink" Target="https://cricos.education.gov.au/" TargetMode="External"/><Relationship Id="rId21" Type="http://schemas.openxmlformats.org/officeDocument/2006/relationships/diagramQuickStyle" Target="diagrams/quickStyle1.xml"/><Relationship Id="rId34" Type="http://schemas.openxmlformats.org/officeDocument/2006/relationships/hyperlink" Target="https://www.teqsa.gov.au/about-us/contact-us" TargetMode="External"/><Relationship Id="rId42" Type="http://schemas.openxmlformats.org/officeDocument/2006/relationships/hyperlink" Target="https://www.teqsa.gov.au/provider-registration/support-and-resources" TargetMode="External"/><Relationship Id="rId47" Type="http://schemas.openxmlformats.org/officeDocument/2006/relationships/hyperlink" Target="https://www.legislation.gov.au/C2011A00073/latest/downloads" TargetMode="Externa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teqsa.gov.au/about-us/reporting-and-accountability/privacy" TargetMode="External"/><Relationship Id="rId11" Type="http://schemas.openxmlformats.org/officeDocument/2006/relationships/header" Target="header1.xml"/><Relationship Id="rId24" Type="http://schemas.openxmlformats.org/officeDocument/2006/relationships/hyperlink" Target="mailto:standards@teqsa.gov.au" TargetMode="External"/><Relationship Id="rId32" Type="http://schemas.openxmlformats.org/officeDocument/2006/relationships/hyperlink" Target="mailto:enquiries@teqsa.gov.au" TargetMode="External"/><Relationship Id="rId37" Type="http://schemas.openxmlformats.org/officeDocument/2006/relationships/hyperlink" Target="https://www.legislation.gov.au/Series/C2004A00757" TargetMode="External"/><Relationship Id="rId40" Type="http://schemas.openxmlformats.org/officeDocument/2006/relationships/hyperlink" Target="https://www.legislation.gov.au/Series/F2021L00488" TargetMode="External"/><Relationship Id="rId45" Type="http://schemas.openxmlformats.org/officeDocument/2006/relationships/hyperlink" Target="https://www.teqsa.gov.au/about-us/contact-us" TargetMode="External"/><Relationship Id="rId53" Type="http://schemas.openxmlformats.org/officeDocument/2006/relationships/footer" Target="footer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image" Target="media/image6.png"/><Relationship Id="rId44" Type="http://schemas.openxmlformats.org/officeDocument/2006/relationships/hyperlink" Target="https://www.teqsa.gov.au/students" TargetMode="Externa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hyperlink" Target="https://www.teqsa.gov.au/About-us/engagement" TargetMode="External"/><Relationship Id="rId30" Type="http://schemas.openxmlformats.org/officeDocument/2006/relationships/hyperlink" Target="https://www.apsc.gov.au/working-aps/integrity/integrity-resources/aps-values-code-conduct-and-employment-principles" TargetMode="External"/><Relationship Id="rId35" Type="http://schemas.openxmlformats.org/officeDocument/2006/relationships/hyperlink" Target="https://www.teqsa.gov.au/about-us/contact-us/complaints-about-teqsa" TargetMode="External"/><Relationship Id="rId43" Type="http://schemas.openxmlformats.org/officeDocument/2006/relationships/hyperlink" Target="https://www.teqsa.gov.au/about-us/teqsa-overview/faqs" TargetMode="Externa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teqsa.gov.au/About-us/engagement/consultation" TargetMode="External"/><Relationship Id="rId25" Type="http://schemas.openxmlformats.org/officeDocument/2006/relationships/hyperlink" Target="https://www.teqsa.gov.au/ServiceCharterReview" TargetMode="External"/><Relationship Id="rId33" Type="http://schemas.openxmlformats.org/officeDocument/2006/relationships/hyperlink" Target="https://www.teqsa.gov.au/about-us/contact-us" TargetMode="External"/><Relationship Id="rId38" Type="http://schemas.openxmlformats.org/officeDocument/2006/relationships/hyperlink" Target="https://www.teqsa.gov.au/national-register" TargetMode="External"/><Relationship Id="rId46" Type="http://schemas.openxmlformats.org/officeDocument/2006/relationships/hyperlink" Target="https://www.teqsa.gov.au/about-us/contact-us/raising-complaint-or-concern/you-raise-concern" TargetMode="External"/><Relationship Id="rId20" Type="http://schemas.openxmlformats.org/officeDocument/2006/relationships/diagramLayout" Target="diagrams/layout1.xml"/><Relationship Id="rId41" Type="http://schemas.openxmlformats.org/officeDocument/2006/relationships/hyperlink" Target="https://www.teqsa.gov.au/about-us/contact-u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microsoft.com/office/2007/relationships/diagramDrawing" Target="diagrams/drawing1.xml"/><Relationship Id="rId28" Type="http://schemas.openxmlformats.org/officeDocument/2006/relationships/hyperlink" Target="https://www.teqsa.gov.au/publication/corporate-publications/compliance-and-enforcement-policy" TargetMode="External"/><Relationship Id="rId36" Type="http://schemas.openxmlformats.org/officeDocument/2006/relationships/hyperlink" Target="https://www.legislation.gov.au/Series/C2011A00073" TargetMode="External"/><Relationship Id="rId49"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B90641-9EE3-4673-81DE-955DCC8CA9D4}"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AU"/>
        </a:p>
      </dgm:t>
    </dgm:pt>
    <dgm:pt modelId="{1314BF76-22AD-4857-8B95-AE42FDDD62A9}">
      <dgm:prSet phldrT="[Text]"/>
      <dgm:spPr/>
      <dgm:t>
        <a:bodyPr/>
        <a:lstStyle/>
        <a:p>
          <a:r>
            <a:rPr lang="en-AU"/>
            <a:t>Internal review (early 2023)</a:t>
          </a:r>
        </a:p>
      </dgm:t>
    </dgm:pt>
    <dgm:pt modelId="{D5883248-F1A0-4BE7-9664-7AB5DADC3BDF}" type="parTrans" cxnId="{ECACB846-797A-42B2-AAAD-7697E3A98000}">
      <dgm:prSet/>
      <dgm:spPr/>
      <dgm:t>
        <a:bodyPr/>
        <a:lstStyle/>
        <a:p>
          <a:endParaRPr lang="en-AU"/>
        </a:p>
      </dgm:t>
    </dgm:pt>
    <dgm:pt modelId="{C9CB22F7-BC05-4B9B-9AA0-F4FDDC8F6B9B}" type="sibTrans" cxnId="{ECACB846-797A-42B2-AAAD-7697E3A98000}">
      <dgm:prSet/>
      <dgm:spPr/>
      <dgm:t>
        <a:bodyPr/>
        <a:lstStyle/>
        <a:p>
          <a:endParaRPr lang="en-AU"/>
        </a:p>
      </dgm:t>
    </dgm:pt>
    <dgm:pt modelId="{453B7AE7-2DF6-4460-8C13-892B87D63174}">
      <dgm:prSet phldrT="[Text]"/>
      <dgm:spPr/>
      <dgm:t>
        <a:bodyPr/>
        <a:lstStyle/>
        <a:p>
          <a:r>
            <a:rPr lang="en-AU"/>
            <a:t>Identify how TEQSA's service charter sets out the services expected of us</a:t>
          </a:r>
        </a:p>
      </dgm:t>
    </dgm:pt>
    <dgm:pt modelId="{91CEE391-2F34-4AB0-9433-6A656A1B19D7}" type="parTrans" cxnId="{F98319BA-42BE-4C31-B6E1-B8D1023C505B}">
      <dgm:prSet/>
      <dgm:spPr/>
      <dgm:t>
        <a:bodyPr/>
        <a:lstStyle/>
        <a:p>
          <a:endParaRPr lang="en-AU"/>
        </a:p>
      </dgm:t>
    </dgm:pt>
    <dgm:pt modelId="{85362255-0DA4-4518-A3A9-42CED0FE0A39}" type="sibTrans" cxnId="{F98319BA-42BE-4C31-B6E1-B8D1023C505B}">
      <dgm:prSet/>
      <dgm:spPr/>
      <dgm:t>
        <a:bodyPr/>
        <a:lstStyle/>
        <a:p>
          <a:endParaRPr lang="en-AU"/>
        </a:p>
      </dgm:t>
    </dgm:pt>
    <dgm:pt modelId="{8A84624E-C70C-4818-96FB-DC626C4A693D}">
      <dgm:prSet phldrT="[Text]"/>
      <dgm:spPr/>
      <dgm:t>
        <a:bodyPr/>
        <a:lstStyle/>
        <a:p>
          <a:r>
            <a:rPr lang="en-AU"/>
            <a:t>Stakeholder survey (Sep 2023 - phase 1)</a:t>
          </a:r>
        </a:p>
      </dgm:t>
    </dgm:pt>
    <dgm:pt modelId="{C16BE961-2F88-45FE-80DD-BD8B7A0661C2}" type="parTrans" cxnId="{AD4AF29F-2983-48BE-81DA-F13CC32F2EE4}">
      <dgm:prSet/>
      <dgm:spPr/>
      <dgm:t>
        <a:bodyPr/>
        <a:lstStyle/>
        <a:p>
          <a:endParaRPr lang="en-AU"/>
        </a:p>
      </dgm:t>
    </dgm:pt>
    <dgm:pt modelId="{01293B1D-8513-4A55-8969-E7348F2D3B27}" type="sibTrans" cxnId="{AD4AF29F-2983-48BE-81DA-F13CC32F2EE4}">
      <dgm:prSet/>
      <dgm:spPr/>
      <dgm:t>
        <a:bodyPr/>
        <a:lstStyle/>
        <a:p>
          <a:endParaRPr lang="en-AU"/>
        </a:p>
      </dgm:t>
    </dgm:pt>
    <dgm:pt modelId="{F4CC62A8-FF1B-4904-861A-041FDE434ADE}">
      <dgm:prSet phldrT="[Text]"/>
      <dgm:spPr/>
      <dgm:t>
        <a:bodyPr/>
        <a:lstStyle/>
        <a:p>
          <a:r>
            <a:rPr lang="en-AU"/>
            <a:t>Gather feedback about what TEQSA's revised service charter may look like</a:t>
          </a:r>
        </a:p>
      </dgm:t>
    </dgm:pt>
    <dgm:pt modelId="{7C264F1F-E740-4B5E-80B7-A07DD4D90855}" type="parTrans" cxnId="{1528EAB3-A834-4F00-90D3-D081F6F452BC}">
      <dgm:prSet/>
      <dgm:spPr/>
      <dgm:t>
        <a:bodyPr/>
        <a:lstStyle/>
        <a:p>
          <a:endParaRPr lang="en-AU"/>
        </a:p>
      </dgm:t>
    </dgm:pt>
    <dgm:pt modelId="{15024B81-8585-48DB-ADBF-ECDC39EDDD22}" type="sibTrans" cxnId="{1528EAB3-A834-4F00-90D3-D081F6F452BC}">
      <dgm:prSet/>
      <dgm:spPr/>
      <dgm:t>
        <a:bodyPr/>
        <a:lstStyle/>
        <a:p>
          <a:endParaRPr lang="en-AU"/>
        </a:p>
      </dgm:t>
    </dgm:pt>
    <dgm:pt modelId="{7161C7B5-0428-49DC-8793-241DD0E51C74}">
      <dgm:prSet phldrT="[Text]"/>
      <dgm:spPr/>
      <dgm:t>
        <a:bodyPr/>
        <a:lstStyle/>
        <a:p>
          <a:r>
            <a:rPr lang="en-AU"/>
            <a:t>Public consultation (Apr 2024 - phase 2)</a:t>
          </a:r>
        </a:p>
      </dgm:t>
    </dgm:pt>
    <dgm:pt modelId="{8E2BA197-02C5-4CA4-86BC-1134223188C1}" type="parTrans" cxnId="{6253A440-8BBA-4156-87EB-EEFDBE6942FC}">
      <dgm:prSet/>
      <dgm:spPr/>
      <dgm:t>
        <a:bodyPr/>
        <a:lstStyle/>
        <a:p>
          <a:endParaRPr lang="en-AU"/>
        </a:p>
      </dgm:t>
    </dgm:pt>
    <dgm:pt modelId="{79540A38-55E6-4ABE-BB67-AE443AC9A236}" type="sibTrans" cxnId="{6253A440-8BBA-4156-87EB-EEFDBE6942FC}">
      <dgm:prSet/>
      <dgm:spPr/>
      <dgm:t>
        <a:bodyPr/>
        <a:lstStyle/>
        <a:p>
          <a:endParaRPr lang="en-AU"/>
        </a:p>
      </dgm:t>
    </dgm:pt>
    <dgm:pt modelId="{BB5D1172-BB77-4F6C-ADF6-1AC73E194E17}">
      <dgm:prSet phldrT="[Text]"/>
      <dgm:spPr/>
      <dgm:t>
        <a:bodyPr/>
        <a:lstStyle/>
        <a:p>
          <a:r>
            <a:rPr lang="en-AU"/>
            <a:t>Collect insights into areas of most important to stakeholders</a:t>
          </a:r>
        </a:p>
      </dgm:t>
    </dgm:pt>
    <dgm:pt modelId="{08F19BB3-C059-4540-96B0-280D0BAD0B60}" type="parTrans" cxnId="{E3F5D5D2-AA5A-4FDA-80CD-547688672669}">
      <dgm:prSet/>
      <dgm:spPr/>
      <dgm:t>
        <a:bodyPr/>
        <a:lstStyle/>
        <a:p>
          <a:endParaRPr lang="en-AU"/>
        </a:p>
      </dgm:t>
    </dgm:pt>
    <dgm:pt modelId="{76CC3630-8757-45C7-AF97-8FD7DF475C8A}" type="sibTrans" cxnId="{E3F5D5D2-AA5A-4FDA-80CD-547688672669}">
      <dgm:prSet/>
      <dgm:spPr/>
      <dgm:t>
        <a:bodyPr/>
        <a:lstStyle/>
        <a:p>
          <a:endParaRPr lang="en-AU"/>
        </a:p>
      </dgm:t>
    </dgm:pt>
    <dgm:pt modelId="{0E9767D7-008B-466D-B112-D4CB1C793B3F}">
      <dgm:prSet phldrT="[Text]"/>
      <dgm:spPr/>
      <dgm:t>
        <a:bodyPr/>
        <a:lstStyle/>
        <a:p>
          <a:r>
            <a:rPr lang="en-AU"/>
            <a:t>Review (May/Jun 2024)</a:t>
          </a:r>
        </a:p>
      </dgm:t>
    </dgm:pt>
    <dgm:pt modelId="{C0FC29D1-E5ED-451F-97DF-D3983416C60D}" type="parTrans" cxnId="{2FCBC4B0-3511-4503-A08A-AF11BBE06EE4}">
      <dgm:prSet/>
      <dgm:spPr/>
      <dgm:t>
        <a:bodyPr/>
        <a:lstStyle/>
        <a:p>
          <a:endParaRPr lang="en-AU"/>
        </a:p>
      </dgm:t>
    </dgm:pt>
    <dgm:pt modelId="{A59A487A-94B4-4BBC-8A19-6BD06C2A09DC}" type="sibTrans" cxnId="{2FCBC4B0-3511-4503-A08A-AF11BBE06EE4}">
      <dgm:prSet/>
      <dgm:spPr/>
      <dgm:t>
        <a:bodyPr/>
        <a:lstStyle/>
        <a:p>
          <a:endParaRPr lang="en-AU"/>
        </a:p>
      </dgm:t>
    </dgm:pt>
    <dgm:pt modelId="{7636F0D7-5667-4883-AF28-C1F407393157}">
      <dgm:prSet phldrT="[Text]"/>
      <dgm:spPr/>
      <dgm:t>
        <a:bodyPr/>
        <a:lstStyle/>
        <a:p>
          <a:r>
            <a:rPr lang="en-AU"/>
            <a:t>Consider all feedback to implement into an updated service charter</a:t>
          </a:r>
        </a:p>
      </dgm:t>
    </dgm:pt>
    <dgm:pt modelId="{B5EA3614-D93A-4DA2-A28A-89780CE769BB}" type="parTrans" cxnId="{191A38D7-E09B-4F78-A88B-5F0A85E16C55}">
      <dgm:prSet/>
      <dgm:spPr/>
      <dgm:t>
        <a:bodyPr/>
        <a:lstStyle/>
        <a:p>
          <a:endParaRPr lang="en-AU"/>
        </a:p>
      </dgm:t>
    </dgm:pt>
    <dgm:pt modelId="{EFA09279-547A-45FF-B4D9-8CC8A89F259A}" type="sibTrans" cxnId="{191A38D7-E09B-4F78-A88B-5F0A85E16C55}">
      <dgm:prSet/>
      <dgm:spPr/>
      <dgm:t>
        <a:bodyPr/>
        <a:lstStyle/>
        <a:p>
          <a:endParaRPr lang="en-AU"/>
        </a:p>
      </dgm:t>
    </dgm:pt>
    <dgm:pt modelId="{8A5A498E-59C1-406A-861C-D8FEFC895A07}">
      <dgm:prSet phldrT="[Text]"/>
      <dgm:spPr/>
      <dgm:t>
        <a:bodyPr/>
        <a:lstStyle/>
        <a:p>
          <a:r>
            <a:rPr lang="en-AU"/>
            <a:t>Adoption (late 2024)</a:t>
          </a:r>
        </a:p>
      </dgm:t>
    </dgm:pt>
    <dgm:pt modelId="{EAE29277-06D6-4144-AB34-01B6FF003540}" type="parTrans" cxnId="{C9F83872-485B-49AF-82C3-BB30FD1F36C0}">
      <dgm:prSet/>
      <dgm:spPr/>
      <dgm:t>
        <a:bodyPr/>
        <a:lstStyle/>
        <a:p>
          <a:endParaRPr lang="en-AU"/>
        </a:p>
      </dgm:t>
    </dgm:pt>
    <dgm:pt modelId="{1CAF1E1D-163B-4FA9-8F93-B94D37C84942}" type="sibTrans" cxnId="{C9F83872-485B-49AF-82C3-BB30FD1F36C0}">
      <dgm:prSet/>
      <dgm:spPr/>
      <dgm:t>
        <a:bodyPr/>
        <a:lstStyle/>
        <a:p>
          <a:endParaRPr lang="en-AU"/>
        </a:p>
      </dgm:t>
    </dgm:pt>
    <dgm:pt modelId="{9F03A745-ACD5-47F1-A72A-B41CA0B0CF2C}">
      <dgm:prSet phldrT="[Text]"/>
      <dgm:spPr/>
      <dgm:t>
        <a:bodyPr/>
        <a:lstStyle/>
        <a:p>
          <a:r>
            <a:rPr lang="en-AU"/>
            <a:t>Publish an updated service charter</a:t>
          </a:r>
        </a:p>
      </dgm:t>
    </dgm:pt>
    <dgm:pt modelId="{3C47350F-1990-4B99-A65F-640771B0D9F4}" type="parTrans" cxnId="{AC329387-EC47-4F29-BE5D-D98ED83D31E1}">
      <dgm:prSet/>
      <dgm:spPr/>
      <dgm:t>
        <a:bodyPr/>
        <a:lstStyle/>
        <a:p>
          <a:endParaRPr lang="en-AU"/>
        </a:p>
      </dgm:t>
    </dgm:pt>
    <dgm:pt modelId="{E1631020-373D-46E8-9F57-B3CAECF6A5C0}" type="sibTrans" cxnId="{AC329387-EC47-4F29-BE5D-D98ED83D31E1}">
      <dgm:prSet/>
      <dgm:spPr/>
      <dgm:t>
        <a:bodyPr/>
        <a:lstStyle/>
        <a:p>
          <a:endParaRPr lang="en-AU"/>
        </a:p>
      </dgm:t>
    </dgm:pt>
    <dgm:pt modelId="{CC7C0740-00DA-4B27-9F72-8C6781E1AA7F}" type="pres">
      <dgm:prSet presAssocID="{B7B90641-9EE3-4673-81DE-955DCC8CA9D4}" presName="Name0" presStyleCnt="0">
        <dgm:presLayoutVars>
          <dgm:dir/>
          <dgm:animLvl val="lvl"/>
          <dgm:resizeHandles val="exact"/>
        </dgm:presLayoutVars>
      </dgm:prSet>
      <dgm:spPr/>
    </dgm:pt>
    <dgm:pt modelId="{94C3ACD2-210D-4BCA-98F5-769991D405FD}" type="pres">
      <dgm:prSet presAssocID="{1314BF76-22AD-4857-8B95-AE42FDDD62A9}" presName="vertFlow" presStyleCnt="0"/>
      <dgm:spPr/>
    </dgm:pt>
    <dgm:pt modelId="{7D4E03AF-0E67-4DFF-9307-CBDE0EDD21CC}" type="pres">
      <dgm:prSet presAssocID="{1314BF76-22AD-4857-8B95-AE42FDDD62A9}" presName="header" presStyleLbl="node1" presStyleIdx="0" presStyleCnt="5"/>
      <dgm:spPr/>
    </dgm:pt>
    <dgm:pt modelId="{88D111D7-E16C-4F17-9797-D893890FD052}" type="pres">
      <dgm:prSet presAssocID="{91CEE391-2F34-4AB0-9433-6A656A1B19D7}" presName="parTrans" presStyleLbl="sibTrans2D1" presStyleIdx="0" presStyleCnt="5"/>
      <dgm:spPr/>
    </dgm:pt>
    <dgm:pt modelId="{D034A59C-C041-49B2-A679-EBEDAE273EBD}" type="pres">
      <dgm:prSet presAssocID="{453B7AE7-2DF6-4460-8C13-892B87D63174}" presName="child" presStyleLbl="alignAccFollowNode1" presStyleIdx="0" presStyleCnt="5" custScaleY="258935">
        <dgm:presLayoutVars>
          <dgm:chMax val="0"/>
          <dgm:bulletEnabled val="1"/>
        </dgm:presLayoutVars>
      </dgm:prSet>
      <dgm:spPr/>
    </dgm:pt>
    <dgm:pt modelId="{03AB2564-BD50-481E-863D-0F063CFA62A8}" type="pres">
      <dgm:prSet presAssocID="{1314BF76-22AD-4857-8B95-AE42FDDD62A9}" presName="hSp" presStyleCnt="0"/>
      <dgm:spPr/>
    </dgm:pt>
    <dgm:pt modelId="{11B35570-7D10-414A-942B-7974F7B659BF}" type="pres">
      <dgm:prSet presAssocID="{8A84624E-C70C-4818-96FB-DC626C4A693D}" presName="vertFlow" presStyleCnt="0"/>
      <dgm:spPr/>
    </dgm:pt>
    <dgm:pt modelId="{56B8E1BE-6BA5-4284-93A4-549126DCABC7}" type="pres">
      <dgm:prSet presAssocID="{8A84624E-C70C-4818-96FB-DC626C4A693D}" presName="header" presStyleLbl="node1" presStyleIdx="1" presStyleCnt="5"/>
      <dgm:spPr/>
    </dgm:pt>
    <dgm:pt modelId="{E0AC12FA-554D-4DC7-8D27-23AA9CF54EF7}" type="pres">
      <dgm:prSet presAssocID="{7C264F1F-E740-4B5E-80B7-A07DD4D90855}" presName="parTrans" presStyleLbl="sibTrans2D1" presStyleIdx="1" presStyleCnt="5"/>
      <dgm:spPr/>
    </dgm:pt>
    <dgm:pt modelId="{BD69699D-E618-4796-BF90-46776DBC56B4}" type="pres">
      <dgm:prSet presAssocID="{F4CC62A8-FF1B-4904-861A-041FDE434ADE}" presName="child" presStyleLbl="alignAccFollowNode1" presStyleIdx="1" presStyleCnt="5" custScaleY="251211">
        <dgm:presLayoutVars>
          <dgm:chMax val="0"/>
          <dgm:bulletEnabled val="1"/>
        </dgm:presLayoutVars>
      </dgm:prSet>
      <dgm:spPr/>
    </dgm:pt>
    <dgm:pt modelId="{7CC6CECA-7869-49AB-8056-FCCD1A2EF967}" type="pres">
      <dgm:prSet presAssocID="{8A84624E-C70C-4818-96FB-DC626C4A693D}" presName="hSp" presStyleCnt="0"/>
      <dgm:spPr/>
    </dgm:pt>
    <dgm:pt modelId="{EADBA35A-BA26-4457-83BE-93CBA16D588C}" type="pres">
      <dgm:prSet presAssocID="{7161C7B5-0428-49DC-8793-241DD0E51C74}" presName="vertFlow" presStyleCnt="0"/>
      <dgm:spPr/>
    </dgm:pt>
    <dgm:pt modelId="{ECC0B4D2-75D7-4CE2-9FE9-EB4A8696BF62}" type="pres">
      <dgm:prSet presAssocID="{7161C7B5-0428-49DC-8793-241DD0E51C74}" presName="header" presStyleLbl="node1" presStyleIdx="2" presStyleCnt="5"/>
      <dgm:spPr/>
    </dgm:pt>
    <dgm:pt modelId="{FCC39DFF-1DCF-4053-984A-2E6F61F71455}" type="pres">
      <dgm:prSet presAssocID="{08F19BB3-C059-4540-96B0-280D0BAD0B60}" presName="parTrans" presStyleLbl="sibTrans2D1" presStyleIdx="2" presStyleCnt="5"/>
      <dgm:spPr/>
    </dgm:pt>
    <dgm:pt modelId="{2B961741-BF03-4E0B-9399-8DFE49F82D11}" type="pres">
      <dgm:prSet presAssocID="{BB5D1172-BB77-4F6C-ADF6-1AC73E194E17}" presName="child" presStyleLbl="alignAccFollowNode1" presStyleIdx="2" presStyleCnt="5" custScaleY="255663">
        <dgm:presLayoutVars>
          <dgm:chMax val="0"/>
          <dgm:bulletEnabled val="1"/>
        </dgm:presLayoutVars>
      </dgm:prSet>
      <dgm:spPr/>
    </dgm:pt>
    <dgm:pt modelId="{5F0A45CF-E460-4330-AFC0-264074578148}" type="pres">
      <dgm:prSet presAssocID="{7161C7B5-0428-49DC-8793-241DD0E51C74}" presName="hSp" presStyleCnt="0"/>
      <dgm:spPr/>
    </dgm:pt>
    <dgm:pt modelId="{DED15342-0CEC-4DA2-A7B9-9DAF3CB9BBB4}" type="pres">
      <dgm:prSet presAssocID="{0E9767D7-008B-466D-B112-D4CB1C793B3F}" presName="vertFlow" presStyleCnt="0"/>
      <dgm:spPr/>
    </dgm:pt>
    <dgm:pt modelId="{547AEF8B-A2BA-425E-85E2-A5C8382FC80A}" type="pres">
      <dgm:prSet presAssocID="{0E9767D7-008B-466D-B112-D4CB1C793B3F}" presName="header" presStyleLbl="node1" presStyleIdx="3" presStyleCnt="5"/>
      <dgm:spPr/>
    </dgm:pt>
    <dgm:pt modelId="{2F07D88D-C24B-44A2-A71E-0C238B023A74}" type="pres">
      <dgm:prSet presAssocID="{B5EA3614-D93A-4DA2-A28A-89780CE769BB}" presName="parTrans" presStyleLbl="sibTrans2D1" presStyleIdx="3" presStyleCnt="5"/>
      <dgm:spPr/>
    </dgm:pt>
    <dgm:pt modelId="{BD796834-B329-4D67-B426-C4BE059232DD}" type="pres">
      <dgm:prSet presAssocID="{7636F0D7-5667-4883-AF28-C1F407393157}" presName="child" presStyleLbl="alignAccFollowNode1" presStyleIdx="3" presStyleCnt="5" custScaleY="263387">
        <dgm:presLayoutVars>
          <dgm:chMax val="0"/>
          <dgm:bulletEnabled val="1"/>
        </dgm:presLayoutVars>
      </dgm:prSet>
      <dgm:spPr/>
    </dgm:pt>
    <dgm:pt modelId="{AC469E5D-6248-4B31-A74E-3DB7FB6A3290}" type="pres">
      <dgm:prSet presAssocID="{0E9767D7-008B-466D-B112-D4CB1C793B3F}" presName="hSp" presStyleCnt="0"/>
      <dgm:spPr/>
    </dgm:pt>
    <dgm:pt modelId="{A91BBABE-366E-4894-BAC6-2958B82E07EC}" type="pres">
      <dgm:prSet presAssocID="{8A5A498E-59C1-406A-861C-D8FEFC895A07}" presName="vertFlow" presStyleCnt="0"/>
      <dgm:spPr/>
    </dgm:pt>
    <dgm:pt modelId="{8D492AD6-5F29-431E-BDFC-E8AE862E92E9}" type="pres">
      <dgm:prSet presAssocID="{8A5A498E-59C1-406A-861C-D8FEFC895A07}" presName="header" presStyleLbl="node1" presStyleIdx="4" presStyleCnt="5"/>
      <dgm:spPr/>
    </dgm:pt>
    <dgm:pt modelId="{0A3587B1-A7BD-4A14-B0B6-25AAE0EC92DE}" type="pres">
      <dgm:prSet presAssocID="{3C47350F-1990-4B99-A65F-640771B0D9F4}" presName="parTrans" presStyleLbl="sibTrans2D1" presStyleIdx="4" presStyleCnt="5"/>
      <dgm:spPr/>
    </dgm:pt>
    <dgm:pt modelId="{5D713E12-595D-45E2-8731-704FD9C98B81}" type="pres">
      <dgm:prSet presAssocID="{9F03A745-ACD5-47F1-A72A-B41CA0B0CF2C}" presName="child" presStyleLbl="alignAccFollowNode1" presStyleIdx="4" presStyleCnt="5" custScaleY="292522">
        <dgm:presLayoutVars>
          <dgm:chMax val="0"/>
          <dgm:bulletEnabled val="1"/>
        </dgm:presLayoutVars>
      </dgm:prSet>
      <dgm:spPr/>
    </dgm:pt>
  </dgm:ptLst>
  <dgm:cxnLst>
    <dgm:cxn modelId="{27118828-964E-491E-887B-300D80426340}" type="presOf" srcId="{8A84624E-C70C-4818-96FB-DC626C4A693D}" destId="{56B8E1BE-6BA5-4284-93A4-549126DCABC7}" srcOrd="0" destOrd="0" presId="urn:microsoft.com/office/officeart/2005/8/layout/lProcess1"/>
    <dgm:cxn modelId="{4025192B-B626-4BC6-BFA8-E38F7F16215A}" type="presOf" srcId="{91CEE391-2F34-4AB0-9433-6A656A1B19D7}" destId="{88D111D7-E16C-4F17-9797-D893890FD052}" srcOrd="0" destOrd="0" presId="urn:microsoft.com/office/officeart/2005/8/layout/lProcess1"/>
    <dgm:cxn modelId="{FD06762C-A27C-4857-BD91-3B27D893B87D}" type="presOf" srcId="{08F19BB3-C059-4540-96B0-280D0BAD0B60}" destId="{FCC39DFF-1DCF-4053-984A-2E6F61F71455}" srcOrd="0" destOrd="0" presId="urn:microsoft.com/office/officeart/2005/8/layout/lProcess1"/>
    <dgm:cxn modelId="{831EE92F-C543-4D56-80D2-DEEF729B74E1}" type="presOf" srcId="{7C264F1F-E740-4B5E-80B7-A07DD4D90855}" destId="{E0AC12FA-554D-4DC7-8D27-23AA9CF54EF7}" srcOrd="0" destOrd="0" presId="urn:microsoft.com/office/officeart/2005/8/layout/lProcess1"/>
    <dgm:cxn modelId="{0DCD3337-C835-4FDA-85E2-FAABE657D9D7}" type="presOf" srcId="{7161C7B5-0428-49DC-8793-241DD0E51C74}" destId="{ECC0B4D2-75D7-4CE2-9FE9-EB4A8696BF62}" srcOrd="0" destOrd="0" presId="urn:microsoft.com/office/officeart/2005/8/layout/lProcess1"/>
    <dgm:cxn modelId="{6253A440-8BBA-4156-87EB-EEFDBE6942FC}" srcId="{B7B90641-9EE3-4673-81DE-955DCC8CA9D4}" destId="{7161C7B5-0428-49DC-8793-241DD0E51C74}" srcOrd="2" destOrd="0" parTransId="{8E2BA197-02C5-4CA4-86BC-1134223188C1}" sibTransId="{79540A38-55E6-4ABE-BB67-AE443AC9A236}"/>
    <dgm:cxn modelId="{ECACB846-797A-42B2-AAAD-7697E3A98000}" srcId="{B7B90641-9EE3-4673-81DE-955DCC8CA9D4}" destId="{1314BF76-22AD-4857-8B95-AE42FDDD62A9}" srcOrd="0" destOrd="0" parTransId="{D5883248-F1A0-4BE7-9664-7AB5DADC3BDF}" sibTransId="{C9CB22F7-BC05-4B9B-9AA0-F4FDDC8F6B9B}"/>
    <dgm:cxn modelId="{FE4A1169-A091-4941-9490-D333AF8BD233}" type="presOf" srcId="{453B7AE7-2DF6-4460-8C13-892B87D63174}" destId="{D034A59C-C041-49B2-A679-EBEDAE273EBD}" srcOrd="0" destOrd="0" presId="urn:microsoft.com/office/officeart/2005/8/layout/lProcess1"/>
    <dgm:cxn modelId="{8B498A6E-BD81-4980-9095-BE6DE760A10B}" type="presOf" srcId="{8A5A498E-59C1-406A-861C-D8FEFC895A07}" destId="{8D492AD6-5F29-431E-BDFC-E8AE862E92E9}" srcOrd="0" destOrd="0" presId="urn:microsoft.com/office/officeart/2005/8/layout/lProcess1"/>
    <dgm:cxn modelId="{C9F83872-485B-49AF-82C3-BB30FD1F36C0}" srcId="{B7B90641-9EE3-4673-81DE-955DCC8CA9D4}" destId="{8A5A498E-59C1-406A-861C-D8FEFC895A07}" srcOrd="4" destOrd="0" parTransId="{EAE29277-06D6-4144-AB34-01B6FF003540}" sibTransId="{1CAF1E1D-163B-4FA9-8F93-B94D37C84942}"/>
    <dgm:cxn modelId="{FDD4C252-D0F6-4348-A79A-66B288009992}" type="presOf" srcId="{1314BF76-22AD-4857-8B95-AE42FDDD62A9}" destId="{7D4E03AF-0E67-4DFF-9307-CBDE0EDD21CC}" srcOrd="0" destOrd="0" presId="urn:microsoft.com/office/officeart/2005/8/layout/lProcess1"/>
    <dgm:cxn modelId="{0E4F8558-C9DD-47EF-BF84-BA889CA73022}" type="presOf" srcId="{9F03A745-ACD5-47F1-A72A-B41CA0B0CF2C}" destId="{5D713E12-595D-45E2-8731-704FD9C98B81}" srcOrd="0" destOrd="0" presId="urn:microsoft.com/office/officeart/2005/8/layout/lProcess1"/>
    <dgm:cxn modelId="{4C632B7B-58FF-4AFD-9B4B-EDE954B5ADC7}" type="presOf" srcId="{F4CC62A8-FF1B-4904-861A-041FDE434ADE}" destId="{BD69699D-E618-4796-BF90-46776DBC56B4}" srcOrd="0" destOrd="0" presId="urn:microsoft.com/office/officeart/2005/8/layout/lProcess1"/>
    <dgm:cxn modelId="{8248187D-01F9-47A1-8D12-602D5CE348DE}" type="presOf" srcId="{3C47350F-1990-4B99-A65F-640771B0D9F4}" destId="{0A3587B1-A7BD-4A14-B0B6-25AAE0EC92DE}" srcOrd="0" destOrd="0" presId="urn:microsoft.com/office/officeart/2005/8/layout/lProcess1"/>
    <dgm:cxn modelId="{33EF737F-E98D-4AAB-9389-17F8C16C0486}" type="presOf" srcId="{BB5D1172-BB77-4F6C-ADF6-1AC73E194E17}" destId="{2B961741-BF03-4E0B-9399-8DFE49F82D11}" srcOrd="0" destOrd="0" presId="urn:microsoft.com/office/officeart/2005/8/layout/lProcess1"/>
    <dgm:cxn modelId="{AC329387-EC47-4F29-BE5D-D98ED83D31E1}" srcId="{8A5A498E-59C1-406A-861C-D8FEFC895A07}" destId="{9F03A745-ACD5-47F1-A72A-B41CA0B0CF2C}" srcOrd="0" destOrd="0" parTransId="{3C47350F-1990-4B99-A65F-640771B0D9F4}" sibTransId="{E1631020-373D-46E8-9F57-B3CAECF6A5C0}"/>
    <dgm:cxn modelId="{A43BA293-7ACF-463A-949D-94327D66548A}" type="presOf" srcId="{0E9767D7-008B-466D-B112-D4CB1C793B3F}" destId="{547AEF8B-A2BA-425E-85E2-A5C8382FC80A}" srcOrd="0" destOrd="0" presId="urn:microsoft.com/office/officeart/2005/8/layout/lProcess1"/>
    <dgm:cxn modelId="{68B4339C-2BDD-4DA6-9B75-E36EEE46C348}" type="presOf" srcId="{7636F0D7-5667-4883-AF28-C1F407393157}" destId="{BD796834-B329-4D67-B426-C4BE059232DD}" srcOrd="0" destOrd="0" presId="urn:microsoft.com/office/officeart/2005/8/layout/lProcess1"/>
    <dgm:cxn modelId="{AD4AF29F-2983-48BE-81DA-F13CC32F2EE4}" srcId="{B7B90641-9EE3-4673-81DE-955DCC8CA9D4}" destId="{8A84624E-C70C-4818-96FB-DC626C4A693D}" srcOrd="1" destOrd="0" parTransId="{C16BE961-2F88-45FE-80DD-BD8B7A0661C2}" sibTransId="{01293B1D-8513-4A55-8969-E7348F2D3B27}"/>
    <dgm:cxn modelId="{53D68AA1-4056-43E4-822E-C7C76FC53E02}" type="presOf" srcId="{B7B90641-9EE3-4673-81DE-955DCC8CA9D4}" destId="{CC7C0740-00DA-4B27-9F72-8C6781E1AA7F}" srcOrd="0" destOrd="0" presId="urn:microsoft.com/office/officeart/2005/8/layout/lProcess1"/>
    <dgm:cxn modelId="{2C8C0FA5-D2FB-4024-9F8E-6DBF0A4B0B6B}" type="presOf" srcId="{B5EA3614-D93A-4DA2-A28A-89780CE769BB}" destId="{2F07D88D-C24B-44A2-A71E-0C238B023A74}" srcOrd="0" destOrd="0" presId="urn:microsoft.com/office/officeart/2005/8/layout/lProcess1"/>
    <dgm:cxn modelId="{2FCBC4B0-3511-4503-A08A-AF11BBE06EE4}" srcId="{B7B90641-9EE3-4673-81DE-955DCC8CA9D4}" destId="{0E9767D7-008B-466D-B112-D4CB1C793B3F}" srcOrd="3" destOrd="0" parTransId="{C0FC29D1-E5ED-451F-97DF-D3983416C60D}" sibTransId="{A59A487A-94B4-4BBC-8A19-6BD06C2A09DC}"/>
    <dgm:cxn modelId="{1528EAB3-A834-4F00-90D3-D081F6F452BC}" srcId="{8A84624E-C70C-4818-96FB-DC626C4A693D}" destId="{F4CC62A8-FF1B-4904-861A-041FDE434ADE}" srcOrd="0" destOrd="0" parTransId="{7C264F1F-E740-4B5E-80B7-A07DD4D90855}" sibTransId="{15024B81-8585-48DB-ADBF-ECDC39EDDD22}"/>
    <dgm:cxn modelId="{F98319BA-42BE-4C31-B6E1-B8D1023C505B}" srcId="{1314BF76-22AD-4857-8B95-AE42FDDD62A9}" destId="{453B7AE7-2DF6-4460-8C13-892B87D63174}" srcOrd="0" destOrd="0" parTransId="{91CEE391-2F34-4AB0-9433-6A656A1B19D7}" sibTransId="{85362255-0DA4-4518-A3A9-42CED0FE0A39}"/>
    <dgm:cxn modelId="{E3F5D5D2-AA5A-4FDA-80CD-547688672669}" srcId="{7161C7B5-0428-49DC-8793-241DD0E51C74}" destId="{BB5D1172-BB77-4F6C-ADF6-1AC73E194E17}" srcOrd="0" destOrd="0" parTransId="{08F19BB3-C059-4540-96B0-280D0BAD0B60}" sibTransId="{76CC3630-8757-45C7-AF97-8FD7DF475C8A}"/>
    <dgm:cxn modelId="{191A38D7-E09B-4F78-A88B-5F0A85E16C55}" srcId="{0E9767D7-008B-466D-B112-D4CB1C793B3F}" destId="{7636F0D7-5667-4883-AF28-C1F407393157}" srcOrd="0" destOrd="0" parTransId="{B5EA3614-D93A-4DA2-A28A-89780CE769BB}" sibTransId="{EFA09279-547A-45FF-B4D9-8CC8A89F259A}"/>
    <dgm:cxn modelId="{7BA55A36-FD86-4486-A688-0F4C072E568E}" type="presParOf" srcId="{CC7C0740-00DA-4B27-9F72-8C6781E1AA7F}" destId="{94C3ACD2-210D-4BCA-98F5-769991D405FD}" srcOrd="0" destOrd="0" presId="urn:microsoft.com/office/officeart/2005/8/layout/lProcess1"/>
    <dgm:cxn modelId="{CC814275-B644-4DA5-A485-93AA9A92A8B8}" type="presParOf" srcId="{94C3ACD2-210D-4BCA-98F5-769991D405FD}" destId="{7D4E03AF-0E67-4DFF-9307-CBDE0EDD21CC}" srcOrd="0" destOrd="0" presId="urn:microsoft.com/office/officeart/2005/8/layout/lProcess1"/>
    <dgm:cxn modelId="{465E05C7-ED84-45CB-87F9-5CE3B45DFBC6}" type="presParOf" srcId="{94C3ACD2-210D-4BCA-98F5-769991D405FD}" destId="{88D111D7-E16C-4F17-9797-D893890FD052}" srcOrd="1" destOrd="0" presId="urn:microsoft.com/office/officeart/2005/8/layout/lProcess1"/>
    <dgm:cxn modelId="{1831E14E-C9E5-416B-AFD5-DE2841630A9A}" type="presParOf" srcId="{94C3ACD2-210D-4BCA-98F5-769991D405FD}" destId="{D034A59C-C041-49B2-A679-EBEDAE273EBD}" srcOrd="2" destOrd="0" presId="urn:microsoft.com/office/officeart/2005/8/layout/lProcess1"/>
    <dgm:cxn modelId="{587ACA79-8993-4A86-9DE8-AE82963B1B0F}" type="presParOf" srcId="{CC7C0740-00DA-4B27-9F72-8C6781E1AA7F}" destId="{03AB2564-BD50-481E-863D-0F063CFA62A8}" srcOrd="1" destOrd="0" presId="urn:microsoft.com/office/officeart/2005/8/layout/lProcess1"/>
    <dgm:cxn modelId="{175C0228-0220-47B0-A39B-0687716729C6}" type="presParOf" srcId="{CC7C0740-00DA-4B27-9F72-8C6781E1AA7F}" destId="{11B35570-7D10-414A-942B-7974F7B659BF}" srcOrd="2" destOrd="0" presId="urn:microsoft.com/office/officeart/2005/8/layout/lProcess1"/>
    <dgm:cxn modelId="{13E75608-B2CF-44AD-B4B4-A0BC73A73967}" type="presParOf" srcId="{11B35570-7D10-414A-942B-7974F7B659BF}" destId="{56B8E1BE-6BA5-4284-93A4-549126DCABC7}" srcOrd="0" destOrd="0" presId="urn:microsoft.com/office/officeart/2005/8/layout/lProcess1"/>
    <dgm:cxn modelId="{C269CD16-E92F-4163-894D-1869EBF27EF2}" type="presParOf" srcId="{11B35570-7D10-414A-942B-7974F7B659BF}" destId="{E0AC12FA-554D-4DC7-8D27-23AA9CF54EF7}" srcOrd="1" destOrd="0" presId="urn:microsoft.com/office/officeart/2005/8/layout/lProcess1"/>
    <dgm:cxn modelId="{C1481A5E-CDD6-4E13-A348-B3254E320616}" type="presParOf" srcId="{11B35570-7D10-414A-942B-7974F7B659BF}" destId="{BD69699D-E618-4796-BF90-46776DBC56B4}" srcOrd="2" destOrd="0" presId="urn:microsoft.com/office/officeart/2005/8/layout/lProcess1"/>
    <dgm:cxn modelId="{2ABB69BE-BC30-43D5-A7A9-9DC9B2E917B6}" type="presParOf" srcId="{CC7C0740-00DA-4B27-9F72-8C6781E1AA7F}" destId="{7CC6CECA-7869-49AB-8056-FCCD1A2EF967}" srcOrd="3" destOrd="0" presId="urn:microsoft.com/office/officeart/2005/8/layout/lProcess1"/>
    <dgm:cxn modelId="{2D8BCE58-87FF-47CD-AD28-FCD10B338341}" type="presParOf" srcId="{CC7C0740-00DA-4B27-9F72-8C6781E1AA7F}" destId="{EADBA35A-BA26-4457-83BE-93CBA16D588C}" srcOrd="4" destOrd="0" presId="urn:microsoft.com/office/officeart/2005/8/layout/lProcess1"/>
    <dgm:cxn modelId="{A0ED913D-0804-40F8-AD8D-E9FE125631A5}" type="presParOf" srcId="{EADBA35A-BA26-4457-83BE-93CBA16D588C}" destId="{ECC0B4D2-75D7-4CE2-9FE9-EB4A8696BF62}" srcOrd="0" destOrd="0" presId="urn:microsoft.com/office/officeart/2005/8/layout/lProcess1"/>
    <dgm:cxn modelId="{F0B55698-C077-4D8C-9314-B9455C08DC9B}" type="presParOf" srcId="{EADBA35A-BA26-4457-83BE-93CBA16D588C}" destId="{FCC39DFF-1DCF-4053-984A-2E6F61F71455}" srcOrd="1" destOrd="0" presId="urn:microsoft.com/office/officeart/2005/8/layout/lProcess1"/>
    <dgm:cxn modelId="{9FA0B001-E002-4AE0-98F3-A76FA38E7ACD}" type="presParOf" srcId="{EADBA35A-BA26-4457-83BE-93CBA16D588C}" destId="{2B961741-BF03-4E0B-9399-8DFE49F82D11}" srcOrd="2" destOrd="0" presId="urn:microsoft.com/office/officeart/2005/8/layout/lProcess1"/>
    <dgm:cxn modelId="{3E91EDA7-5060-4584-843A-92ECC54F9C5E}" type="presParOf" srcId="{CC7C0740-00DA-4B27-9F72-8C6781E1AA7F}" destId="{5F0A45CF-E460-4330-AFC0-264074578148}" srcOrd="5" destOrd="0" presId="urn:microsoft.com/office/officeart/2005/8/layout/lProcess1"/>
    <dgm:cxn modelId="{7D278898-717E-4B45-A868-1146CCA86491}" type="presParOf" srcId="{CC7C0740-00DA-4B27-9F72-8C6781E1AA7F}" destId="{DED15342-0CEC-4DA2-A7B9-9DAF3CB9BBB4}" srcOrd="6" destOrd="0" presId="urn:microsoft.com/office/officeart/2005/8/layout/lProcess1"/>
    <dgm:cxn modelId="{E553AD7D-6EC6-4B1F-A81B-D03E88A18BE4}" type="presParOf" srcId="{DED15342-0CEC-4DA2-A7B9-9DAF3CB9BBB4}" destId="{547AEF8B-A2BA-425E-85E2-A5C8382FC80A}" srcOrd="0" destOrd="0" presId="urn:microsoft.com/office/officeart/2005/8/layout/lProcess1"/>
    <dgm:cxn modelId="{3BBDE1C2-3DC9-4F75-A6E7-F7FB38322A31}" type="presParOf" srcId="{DED15342-0CEC-4DA2-A7B9-9DAF3CB9BBB4}" destId="{2F07D88D-C24B-44A2-A71E-0C238B023A74}" srcOrd="1" destOrd="0" presId="urn:microsoft.com/office/officeart/2005/8/layout/lProcess1"/>
    <dgm:cxn modelId="{E0574838-6FDF-49B7-9280-6AB5D1113817}" type="presParOf" srcId="{DED15342-0CEC-4DA2-A7B9-9DAF3CB9BBB4}" destId="{BD796834-B329-4D67-B426-C4BE059232DD}" srcOrd="2" destOrd="0" presId="urn:microsoft.com/office/officeart/2005/8/layout/lProcess1"/>
    <dgm:cxn modelId="{0865A589-24D9-43D9-8396-70AD3005ACF8}" type="presParOf" srcId="{CC7C0740-00DA-4B27-9F72-8C6781E1AA7F}" destId="{AC469E5D-6248-4B31-A74E-3DB7FB6A3290}" srcOrd="7" destOrd="0" presId="urn:microsoft.com/office/officeart/2005/8/layout/lProcess1"/>
    <dgm:cxn modelId="{B4AAEC64-8536-4492-BBC7-B24AC6FF4AA3}" type="presParOf" srcId="{CC7C0740-00DA-4B27-9F72-8C6781E1AA7F}" destId="{A91BBABE-366E-4894-BAC6-2958B82E07EC}" srcOrd="8" destOrd="0" presId="urn:microsoft.com/office/officeart/2005/8/layout/lProcess1"/>
    <dgm:cxn modelId="{12A9CABC-5B71-4D0C-9BC6-30645F7D0B18}" type="presParOf" srcId="{A91BBABE-366E-4894-BAC6-2958B82E07EC}" destId="{8D492AD6-5F29-431E-BDFC-E8AE862E92E9}" srcOrd="0" destOrd="0" presId="urn:microsoft.com/office/officeart/2005/8/layout/lProcess1"/>
    <dgm:cxn modelId="{86A09EC6-C1C4-449A-876B-667BB9CDB033}" type="presParOf" srcId="{A91BBABE-366E-4894-BAC6-2958B82E07EC}" destId="{0A3587B1-A7BD-4A14-B0B6-25AAE0EC92DE}" srcOrd="1" destOrd="0" presId="urn:microsoft.com/office/officeart/2005/8/layout/lProcess1"/>
    <dgm:cxn modelId="{5CA2FE2F-690B-4395-B951-6E74242F59BE}" type="presParOf" srcId="{A91BBABE-366E-4894-BAC6-2958B82E07EC}" destId="{5D713E12-595D-45E2-8731-704FD9C98B81}" srcOrd="2" destOrd="0" presId="urn:microsoft.com/office/officeart/2005/8/layout/l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E03AF-0E67-4DFF-9307-CBDE0EDD21CC}">
      <dsp:nvSpPr>
        <dsp:cNvPr id="0" name=""/>
        <dsp:cNvSpPr/>
      </dsp:nvSpPr>
      <dsp:spPr>
        <a:xfrm>
          <a:off x="67736" y="42"/>
          <a:ext cx="962397" cy="2405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Internal review (early 2023)</a:t>
          </a:r>
        </a:p>
      </dsp:txBody>
      <dsp:txXfrm>
        <a:off x="74783" y="7089"/>
        <a:ext cx="948303" cy="226505"/>
      </dsp:txXfrm>
    </dsp:sp>
    <dsp:sp modelId="{88D111D7-E16C-4F17-9797-D893890FD052}">
      <dsp:nvSpPr>
        <dsp:cNvPr id="0" name=""/>
        <dsp:cNvSpPr/>
      </dsp:nvSpPr>
      <dsp:spPr>
        <a:xfrm rot="5400000">
          <a:off x="527882" y="261694"/>
          <a:ext cx="42104" cy="4210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034A59C-C041-49B2-A679-EBEDAE273EBD}">
      <dsp:nvSpPr>
        <dsp:cNvPr id="0" name=""/>
        <dsp:cNvSpPr/>
      </dsp:nvSpPr>
      <dsp:spPr>
        <a:xfrm>
          <a:off x="67736" y="324851"/>
          <a:ext cx="962397" cy="62299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Identify how TEQSA's service charter sets out the services expected of us</a:t>
          </a:r>
        </a:p>
      </dsp:txBody>
      <dsp:txXfrm>
        <a:off x="85983" y="343098"/>
        <a:ext cx="925903" cy="586501"/>
      </dsp:txXfrm>
    </dsp:sp>
    <dsp:sp modelId="{56B8E1BE-6BA5-4284-93A4-549126DCABC7}">
      <dsp:nvSpPr>
        <dsp:cNvPr id="0" name=""/>
        <dsp:cNvSpPr/>
      </dsp:nvSpPr>
      <dsp:spPr>
        <a:xfrm>
          <a:off x="1164868" y="42"/>
          <a:ext cx="962397" cy="2405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Stakeholder survey (Sep 2023 - phase 1)</a:t>
          </a:r>
        </a:p>
      </dsp:txBody>
      <dsp:txXfrm>
        <a:off x="1171915" y="7089"/>
        <a:ext cx="948303" cy="226505"/>
      </dsp:txXfrm>
    </dsp:sp>
    <dsp:sp modelId="{E0AC12FA-554D-4DC7-8D27-23AA9CF54EF7}">
      <dsp:nvSpPr>
        <dsp:cNvPr id="0" name=""/>
        <dsp:cNvSpPr/>
      </dsp:nvSpPr>
      <dsp:spPr>
        <a:xfrm rot="5400000">
          <a:off x="1625014" y="261694"/>
          <a:ext cx="42104" cy="4210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69699D-E618-4796-BF90-46776DBC56B4}">
      <dsp:nvSpPr>
        <dsp:cNvPr id="0" name=""/>
        <dsp:cNvSpPr/>
      </dsp:nvSpPr>
      <dsp:spPr>
        <a:xfrm>
          <a:off x="1164868" y="324851"/>
          <a:ext cx="962397" cy="604411"/>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Gather feedback about what TEQSA's revised service charter may look like</a:t>
          </a:r>
        </a:p>
      </dsp:txBody>
      <dsp:txXfrm>
        <a:off x="1182571" y="342554"/>
        <a:ext cx="926991" cy="569005"/>
      </dsp:txXfrm>
    </dsp:sp>
    <dsp:sp modelId="{ECC0B4D2-75D7-4CE2-9FE9-EB4A8696BF62}">
      <dsp:nvSpPr>
        <dsp:cNvPr id="0" name=""/>
        <dsp:cNvSpPr/>
      </dsp:nvSpPr>
      <dsp:spPr>
        <a:xfrm>
          <a:off x="2262001" y="42"/>
          <a:ext cx="962397" cy="2405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Public consultation (Apr 2024 - phase 2)</a:t>
          </a:r>
        </a:p>
      </dsp:txBody>
      <dsp:txXfrm>
        <a:off x="2269048" y="7089"/>
        <a:ext cx="948303" cy="226505"/>
      </dsp:txXfrm>
    </dsp:sp>
    <dsp:sp modelId="{FCC39DFF-1DCF-4053-984A-2E6F61F71455}">
      <dsp:nvSpPr>
        <dsp:cNvPr id="0" name=""/>
        <dsp:cNvSpPr/>
      </dsp:nvSpPr>
      <dsp:spPr>
        <a:xfrm rot="5400000">
          <a:off x="2722147" y="261694"/>
          <a:ext cx="42104" cy="4210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B961741-BF03-4E0B-9399-8DFE49F82D11}">
      <dsp:nvSpPr>
        <dsp:cNvPr id="0" name=""/>
        <dsp:cNvSpPr/>
      </dsp:nvSpPr>
      <dsp:spPr>
        <a:xfrm>
          <a:off x="2262001" y="324851"/>
          <a:ext cx="962397" cy="615123"/>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Collect insights into areas of most important to stakeholders</a:t>
          </a:r>
        </a:p>
      </dsp:txBody>
      <dsp:txXfrm>
        <a:off x="2280017" y="342867"/>
        <a:ext cx="926365" cy="579091"/>
      </dsp:txXfrm>
    </dsp:sp>
    <dsp:sp modelId="{547AEF8B-A2BA-425E-85E2-A5C8382FC80A}">
      <dsp:nvSpPr>
        <dsp:cNvPr id="0" name=""/>
        <dsp:cNvSpPr/>
      </dsp:nvSpPr>
      <dsp:spPr>
        <a:xfrm>
          <a:off x="3359134" y="42"/>
          <a:ext cx="962397" cy="2405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Review (May/Jun 2024)</a:t>
          </a:r>
        </a:p>
      </dsp:txBody>
      <dsp:txXfrm>
        <a:off x="3366181" y="7089"/>
        <a:ext cx="948303" cy="226505"/>
      </dsp:txXfrm>
    </dsp:sp>
    <dsp:sp modelId="{2F07D88D-C24B-44A2-A71E-0C238B023A74}">
      <dsp:nvSpPr>
        <dsp:cNvPr id="0" name=""/>
        <dsp:cNvSpPr/>
      </dsp:nvSpPr>
      <dsp:spPr>
        <a:xfrm rot="5400000">
          <a:off x="3819280" y="261694"/>
          <a:ext cx="42104" cy="4210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796834-B329-4D67-B426-C4BE059232DD}">
      <dsp:nvSpPr>
        <dsp:cNvPr id="0" name=""/>
        <dsp:cNvSpPr/>
      </dsp:nvSpPr>
      <dsp:spPr>
        <a:xfrm>
          <a:off x="3359134" y="324851"/>
          <a:ext cx="962397" cy="633707"/>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Consider all feedback to implement into an updated service charter</a:t>
          </a:r>
        </a:p>
      </dsp:txBody>
      <dsp:txXfrm>
        <a:off x="3377695" y="343412"/>
        <a:ext cx="925275" cy="596585"/>
      </dsp:txXfrm>
    </dsp:sp>
    <dsp:sp modelId="{8D492AD6-5F29-431E-BDFC-E8AE862E92E9}">
      <dsp:nvSpPr>
        <dsp:cNvPr id="0" name=""/>
        <dsp:cNvSpPr/>
      </dsp:nvSpPr>
      <dsp:spPr>
        <a:xfrm>
          <a:off x="4456266" y="42"/>
          <a:ext cx="962397" cy="2405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Adoption (late 2024)</a:t>
          </a:r>
        </a:p>
      </dsp:txBody>
      <dsp:txXfrm>
        <a:off x="4463313" y="7089"/>
        <a:ext cx="948303" cy="226505"/>
      </dsp:txXfrm>
    </dsp:sp>
    <dsp:sp modelId="{0A3587B1-A7BD-4A14-B0B6-25AAE0EC92DE}">
      <dsp:nvSpPr>
        <dsp:cNvPr id="0" name=""/>
        <dsp:cNvSpPr/>
      </dsp:nvSpPr>
      <dsp:spPr>
        <a:xfrm rot="5400000">
          <a:off x="4916412" y="261694"/>
          <a:ext cx="42104" cy="42104"/>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713E12-595D-45E2-8731-704FD9C98B81}">
      <dsp:nvSpPr>
        <dsp:cNvPr id="0" name=""/>
        <dsp:cNvSpPr/>
      </dsp:nvSpPr>
      <dsp:spPr>
        <a:xfrm>
          <a:off x="4456266" y="324851"/>
          <a:ext cx="962397" cy="70380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Publish an updated service charter</a:t>
          </a:r>
        </a:p>
      </dsp:txBody>
      <dsp:txXfrm>
        <a:off x="4476880" y="345465"/>
        <a:ext cx="921169" cy="66257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TEQSA Brand 2021 Colours">
      <a:dk1>
        <a:sysClr val="windowText" lastClr="000000"/>
      </a:dk1>
      <a:lt1>
        <a:srgbClr val="FFFFFF"/>
      </a:lt1>
      <a:dk2>
        <a:srgbClr val="004E7D"/>
      </a:dk2>
      <a:lt2>
        <a:srgbClr val="E7E6E6"/>
      </a:lt2>
      <a:accent1>
        <a:srgbClr val="004E7D"/>
      </a:accent1>
      <a:accent2>
        <a:srgbClr val="F7941D"/>
      </a:accent2>
      <a:accent3>
        <a:srgbClr val="86D2E0"/>
      </a:accent3>
      <a:accent4>
        <a:srgbClr val="FBE5D5"/>
      </a:accent4>
      <a:accent5>
        <a:srgbClr val="171616"/>
      </a:accent5>
      <a:accent6>
        <a:srgbClr val="E7E6E6"/>
      </a:accent6>
      <a:hlink>
        <a:srgbClr val="004E7D"/>
      </a:hlink>
      <a:folHlink>
        <a:srgbClr val="F7941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8ecec057-8c78-413a-8c7a-7980785425af" xsi:nil="true"/>
    <kf9ee14a98cc4d62812e5ddfaadd9c3c xmlns="8ecec057-8c78-413a-8c7a-7980785425af">
      <Terms xmlns="http://schemas.microsoft.com/office/infopath/2007/PartnerControls">
        <TermInfo xmlns="http://schemas.microsoft.com/office/infopath/2007/PartnerControls">
          <TermName xmlns="http://schemas.microsoft.com/office/infopath/2007/PartnerControls">Governance Matter</TermName>
          <TermId xmlns="http://schemas.microsoft.com/office/infopath/2007/PartnerControls">01eaae3f-93ee-4bf9-932a-159cf58c7e80</TermId>
        </TermInfo>
      </Terms>
    </kf9ee14a98cc4d62812e5ddfaadd9c3c>
    <lf00f7cae6154b588c712167af0e92c2 xmlns="8ecec057-8c78-413a-8c7a-7980785425af">
      <Terms xmlns="http://schemas.microsoft.com/office/infopath/2007/PartnerControls"/>
    </lf00f7cae6154b588c712167af0e92c2>
    <Date xmlns="8ecec057-8c78-413a-8c7a-7980785425af">2024-04-09T14:00:00.000Z</Date>
    <o7633fe41807459491b1c3875abbe975 xmlns="8ecec057-8c78-413a-8c7a-7980785425af">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0ecacca0-63f3-44b9-a5b2-3a616f2ef23a</TermId>
        </TermInfo>
      </Terms>
    </o7633fe41807459491b1c3875abbe975>
    <j5c7243103eb4a8f8bdb102a5810412a xmlns="8ecec057-8c78-413a-8c7a-7980785425af">
      <Terms xmlns="http://schemas.microsoft.com/office/infopath/2007/PartnerControls">
        <TermInfo xmlns="http://schemas.microsoft.com/office/infopath/2007/PartnerControls">
          <TermName xmlns="http://schemas.microsoft.com/office/infopath/2007/PartnerControls">Advice and Enquiries</TermName>
          <TermId xmlns="http://schemas.microsoft.com/office/infopath/2007/PartnerControls">cc724d83-84c0-4470-814f-04d513d3a73b</TermId>
        </TermInfo>
      </Terms>
    </j5c7243103eb4a8f8bdb102a5810412a>
    <p2841a2f4f0e46edb9ade446fe7c03eb xmlns="8ecec057-8c78-413a-8c7a-7980785425af">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fc20bdc8-151f-4b1d-aea5-c71094fe6d32</TermId>
        </TermInfo>
      </Terms>
    </p2841a2f4f0e46edb9ade446fe7c03eb>
    <TaxCatchAll xmlns="16a3d3ce-1191-4b61-bdcc-3876b39e2fc2">
      <Value>2</Value>
      <Value>1</Value>
    </TaxCatchAll>
    <lcf76f155ced4ddcb4097134ff3c332f xmlns="8ecec057-8c78-413a-8c7a-7980785425a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7195AAD052154C90877C2175A39053" ma:contentTypeVersion="38" ma:contentTypeDescription="Create a new document." ma:contentTypeScope="" ma:versionID="dc291809f152e43f4d4ecb869c6a9917">
  <xsd:schema xmlns:xsd="http://www.w3.org/2001/XMLSchema" xmlns:xs="http://www.w3.org/2001/XMLSchema" xmlns:p="http://schemas.microsoft.com/office/2006/metadata/properties" xmlns:ns2="16a3d3ce-1191-4b61-bdcc-3876b39e2fc2" xmlns:ns3="8ecec057-8c78-413a-8c7a-7980785425af" targetNamespace="http://schemas.microsoft.com/office/2006/metadata/properties" ma:root="true" ma:fieldsID="cb013f6a250a40b49afce90ee08087fb" ns2:_="" ns3:_="">
    <xsd:import namespace="16a3d3ce-1191-4b61-bdcc-3876b39e2fc2"/>
    <xsd:import namespace="8ecec057-8c78-413a-8c7a-7980785425af"/>
    <xsd:element name="properties">
      <xsd:complexType>
        <xsd:sequence>
          <xsd:element name="documentManagement">
            <xsd:complexType>
              <xsd:all>
                <xsd:element ref="ns2:TaxCatchAll" minOccurs="0"/>
                <xsd:element ref="ns3:j5c7243103eb4a8f8bdb102a5810412a" minOccurs="0"/>
                <xsd:element ref="ns3:lf00f7cae6154b588c712167af0e92c2" minOccurs="0"/>
                <xsd:element ref="ns3:DocumentStatus" minOccurs="0"/>
                <xsd:element ref="ns3:p2841a2f4f0e46edb9ade446fe7c03eb" minOccurs="0"/>
                <xsd:element ref="ns3:o7633fe41807459491b1c3875abbe975" minOccurs="0"/>
                <xsd:element ref="ns3:MediaServiceMetadata" minOccurs="0"/>
                <xsd:element ref="ns3:MediaServiceFastMetadata" minOccurs="0"/>
                <xsd:element ref="ns2:SharedWithUsers" minOccurs="0"/>
                <xsd:element ref="ns2:SharedWithDetails" minOccurs="0"/>
                <xsd:element ref="ns3:Date"/>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MediaServiceSearchProperties" minOccurs="0"/>
                <xsd:element ref="ns3:kf9ee14a98cc4d62812e5ddfaadd9c3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3d3ce-1191-4b61-bdcc-3876b39e2f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f28c8e8-8a94-43d6-b58b-ebdebf09cd28}" ma:internalName="TaxCatchAll" ma:showField="CatchAllData" ma:web="16a3d3ce-1191-4b61-bdcc-3876b39e2f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ec057-8c78-413a-8c7a-7980785425af" elementFormDefault="qualified">
    <xsd:import namespace="http://schemas.microsoft.com/office/2006/documentManagement/types"/>
    <xsd:import namespace="http://schemas.microsoft.com/office/infopath/2007/PartnerControls"/>
    <xsd:element name="j5c7243103eb4a8f8bdb102a5810412a" ma:index="10" ma:taxonomy="true" ma:internalName="j5c7243103eb4a8f8bdb102a5810412a" ma:taxonomyFieldName="Activity_x0020_Name" ma:displayName="Activity Name" ma:readOnly="false" ma:default="1;#Advice and Enquiries|cc724d83-84c0-4470-814f-04d513d3a73b"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2" nillable="true"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DocumentStatus" ma:index="13" nillable="true" ma:displayName="Document Status" ma:format="Dropdown" ma:internalName="DocumentStatus">
      <xsd:simpleType>
        <xsd:restriction base="dms:Choice">
          <xsd:enumeration value="Draft"/>
          <xsd:enumeration value="Final"/>
        </xsd:restriction>
      </xsd:simpleType>
    </xsd:element>
    <xsd:element name="p2841a2f4f0e46edb9ade446fe7c03eb" ma:index="14" ma:taxonomy="true" ma:internalName="p2841a2f4f0e46edb9ade446fe7c03eb" ma:taxonomyFieldName="Function_x0020_Name" ma:displayName="Function Name" ma:readOnly="false" ma:default="1;#Legal Services|fc20bdc8-151f-4b1d-aea5-c71094fe6d32"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o7633fe41807459491b1c3875abbe975" ma:index="17" ma:taxonomy="true" ma:internalName="o7633fe41807459491b1c3875abbe975" ma:taxonomyFieldName="Business_x0020_Unit" ma:displayName="Business Unit" ma:indexed="true" ma:default="" ma:fieldId="{87633fe4-1807-4594-91b1-c3875abbe975}" ma:sspId="645f8d4e-8f3a-4e65-808f-0c8f2d6bd45a" ma:termSetId="98695a59-353d-4b0b-84da-2f8f934b713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ate" ma:index="22" ma:displayName="Date" ma:default="[today]" ma:format="DateOnly" ma:internalName="Date">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45f8d4e-8f3a-4e65-808f-0c8f2d6bd45a"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kf9ee14a98cc4d62812e5ddfaadd9c3c" ma:index="34" ma:taxonomy="true" ma:internalName="kf9ee14a98cc4d62812e5ddfaadd9c3c" ma:taxonomyFieldName="Subject_x0020_Matter" ma:displayName="Subject Matter" ma:default="" ma:fieldId="{4f9ee14a-98cc-4d62-812e-5ddfaadd9c3c}" ma:sspId="645f8d4e-8f3a-4e65-808f-0c8f2d6bd45a" ma:termSetId="590aeb2a-9b21-4848-9a0b-4c49f07510d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0B269-ED0F-4427-8C56-3A4D07245365}">
  <ds:schemaRefs>
    <ds:schemaRef ds:uri="http://schemas.openxmlformats.org/officeDocument/2006/bibliography"/>
  </ds:schemaRefs>
</ds:datastoreItem>
</file>

<file path=customXml/itemProps2.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3.xml><?xml version="1.0" encoding="utf-8"?>
<ds:datastoreItem xmlns:ds="http://schemas.openxmlformats.org/officeDocument/2006/customXml" ds:itemID="{37A4F7F5-F729-406E-94C0-BA3232646C99}">
  <ds:schemaRefs>
    <ds:schemaRef ds:uri="http://schemas.openxmlformats.org/package/2006/metadata/core-properties"/>
    <ds:schemaRef ds:uri="http://purl.org/dc/elements/1.1/"/>
    <ds:schemaRef ds:uri="http://purl.org/dc/dcmitype/"/>
    <ds:schemaRef ds:uri="http://purl.org/dc/terms/"/>
    <ds:schemaRef ds:uri="16a3d3ce-1191-4b61-bdcc-3876b39e2fc2"/>
    <ds:schemaRef ds:uri="http://schemas.microsoft.com/office/2006/documentManagement/types"/>
    <ds:schemaRef ds:uri="http://schemas.microsoft.com/office/infopath/2007/PartnerControls"/>
    <ds:schemaRef ds:uri="8ecec057-8c78-413a-8c7a-7980785425a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5E5988D-9483-4079-9758-FEBD82F8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3d3ce-1191-4b61-bdcc-3876b39e2fc2"/>
    <ds:schemaRef ds:uri="8ecec057-8c78-413a-8c7a-79807854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20</TotalTime>
  <Pages>12</Pages>
  <Words>3251</Words>
  <Characters>18102</Characters>
  <Application>Microsoft Office Word</Application>
  <DocSecurity>0</DocSecurity>
  <Lines>404</Lines>
  <Paragraphs>178</Paragraphs>
  <ScaleCrop>false</ScaleCrop>
  <HeadingPairs>
    <vt:vector size="2" baseType="variant">
      <vt:variant>
        <vt:lpstr>Title</vt:lpstr>
      </vt:variant>
      <vt:variant>
        <vt:i4>1</vt:i4>
      </vt:variant>
    </vt:vector>
  </HeadingPairs>
  <TitlesOfParts>
    <vt:vector size="1" baseType="lpstr">
      <vt:lpstr>Proposed changes to TEQSA’s Fit and Proper Person Determination - consultation paper</vt:lpstr>
    </vt:vector>
  </TitlesOfParts>
  <Company>Tertiary Education Quality and Standards Agency</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TEQSA’s Fit and Proper Person Determination - consultation paper</dc:title>
  <dc:creator>Tom Hewitt-McManus</dc:creator>
  <cp:keywords>[SEC=OFFICIAL]</cp:keywords>
  <cp:lastModifiedBy>Tom Hewitt-McManus</cp:lastModifiedBy>
  <cp:revision>12</cp:revision>
  <dcterms:created xsi:type="dcterms:W3CDTF">2024-04-16T07:35:00Z</dcterms:created>
  <dcterms:modified xsi:type="dcterms:W3CDTF">2024-04-17T05:04:00Z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0x0101007D7195AAD052154C90877C2175A39053</vt:lpwstr>
  </property>
  <property fmtid="{D5CDD505-2E9C-101B-9397-08002B2CF9AE}" pid="3" name="Team">
    <vt:lpwstr>45;#Comms and International|f1db5572-7306-443e-a442-d56c9f2c52d1</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v=2022.1;a=SHA256;h=950992DB8AC046712F5DCBB1C1A8BF8C8B807E9F2E9F77D643E4B9726A6FCC23</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2024-04-17T02:35:04Z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62651C896F027337B0917591A88E0831BADB0F30</vt:lpwstr>
  </property>
  <property fmtid="{D5CDD505-2E9C-101B-9397-08002B2CF9AE}" pid="16" name="PM_DisplayValueSecClassificationWithQualifier">
    <vt:lpwstr>OFFICIAL</vt:lpwstr>
  </property>
  <property fmtid="{D5CDD505-2E9C-101B-9397-08002B2CF9AE}" pid="17" name="PM_Originating_FileId">
    <vt:lpwstr>48394B3736CD4FA78605CEE176A464F7</vt:lpwstr>
  </property>
  <property fmtid="{D5CDD505-2E9C-101B-9397-08002B2CF9AE}" pid="18" name="PM_ProtectiveMarkingValue_Footer">
    <vt:lpwstr>OFFICIAL</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CFBE9EA95CBB88E2F7B8752707BAE6AEB1998AE5520D6094ECCC44AD28AAD5C8</vt:lpwstr>
  </property>
  <property fmtid="{D5CDD505-2E9C-101B-9397-08002B2CF9AE}" pid="23" name="PM_OriginatorDomainName_SHA256">
    <vt:lpwstr>0C3D4C92EC8F38444BA78741E5B5836F9817C3740155E164E6696E5C1131B3E3</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022343ADE19CD6D8EAF14871EB8C892E</vt:lpwstr>
  </property>
  <property fmtid="{D5CDD505-2E9C-101B-9397-08002B2CF9AE}" pid="27" name="PM_Hash_Salt">
    <vt:lpwstr>DF1526B77E288D3A8B62628F6F27123C</vt:lpwstr>
  </property>
  <property fmtid="{D5CDD505-2E9C-101B-9397-08002B2CF9AE}" pid="28" name="PM_Hash_SHA1">
    <vt:lpwstr>F273A340B9B2CBCF94C5E239546C0171A5A95156</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Business Unit">
    <vt:lpwstr/>
  </property>
  <property fmtid="{D5CDD505-2E9C-101B-9397-08002B2CF9AE}" pid="32" name="MediaServiceImageTags">
    <vt:lpwstr/>
  </property>
  <property fmtid="{D5CDD505-2E9C-101B-9397-08002B2CF9AE}" pid="33" name="Activity Name">
    <vt:lpwstr>2;#Advice and Enquiries|cc724d83-84c0-4470-814f-04d513d3a73b</vt:lpwstr>
  </property>
  <property fmtid="{D5CDD505-2E9C-101B-9397-08002B2CF9AE}" pid="34" name="Function Name">
    <vt:lpwstr>1;#Legal Services|fc20bdc8-151f-4b1d-aea5-c71094fe6d32</vt:lpwstr>
  </property>
  <property fmtid="{D5CDD505-2E9C-101B-9397-08002B2CF9AE}" pid="35" name="Subject Matter">
    <vt:lpwstr/>
  </property>
  <property fmtid="{D5CDD505-2E9C-101B-9397-08002B2CF9AE}" pid="36" name="RecordType">
    <vt:lpwstr/>
  </property>
</Properties>
</file>