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5388E" w14:textId="50B18141" w:rsidR="00D95AAD" w:rsidRPr="00532D29" w:rsidRDefault="00892578" w:rsidP="001D59D0">
      <w:pPr>
        <w:pStyle w:val="TOC2"/>
        <w:rPr>
          <w:rFonts w:ascii="Arial" w:hAnsi="Arial" w:cs="Arial"/>
          <w:noProof/>
          <w:lang w:eastAsia="en-AU"/>
        </w:rPr>
      </w:pPr>
      <w:r>
        <w:rPr>
          <w:rFonts w:ascii="Arial" w:hAnsi="Arial" w:cs="Arial"/>
          <w:noProof/>
          <w:lang w:eastAsia="en-AU"/>
        </w:rPr>
        <w:drawing>
          <wp:anchor distT="0" distB="0" distL="114300" distR="114300" simplePos="0" relativeHeight="251659264" behindDoc="0" locked="0" layoutInCell="1" allowOverlap="1" wp14:anchorId="54CB326A" wp14:editId="1B5FB778">
            <wp:simplePos x="0" y="0"/>
            <wp:positionH relativeFrom="column">
              <wp:posOffset>3381375</wp:posOffset>
            </wp:positionH>
            <wp:positionV relativeFrom="paragraph">
              <wp:posOffset>28575</wp:posOffset>
            </wp:positionV>
            <wp:extent cx="2105025" cy="521335"/>
            <wp:effectExtent l="0" t="0" r="9525" b="0"/>
            <wp:wrapSquare wrapText="bothSides"/>
            <wp:docPr id="553172456" name="Picture 1" descr="A blue circl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172456" name="Picture 1" descr="A blue circle with a black background&#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5025" cy="521335"/>
                    </a:xfrm>
                    <a:prstGeom prst="rect">
                      <a:avLst/>
                    </a:prstGeom>
                  </pic:spPr>
                </pic:pic>
              </a:graphicData>
            </a:graphic>
            <wp14:sizeRelH relativeFrom="margin">
              <wp14:pctWidth>0</wp14:pctWidth>
            </wp14:sizeRelH>
            <wp14:sizeRelV relativeFrom="margin">
              <wp14:pctHeight>0</wp14:pctHeight>
            </wp14:sizeRelV>
          </wp:anchor>
        </w:drawing>
      </w:r>
      <w:r w:rsidR="00000C7D" w:rsidRPr="00532D29">
        <w:rPr>
          <w:rFonts w:ascii="Arial" w:hAnsi="Arial" w:cs="Arial"/>
          <w:noProof/>
          <w:lang w:eastAsia="en-AU"/>
        </w:rPr>
        <w:drawing>
          <wp:inline distT="0" distB="0" distL="0" distR="0" wp14:anchorId="41A2A93D" wp14:editId="210BEEC9">
            <wp:extent cx="2981325" cy="443586"/>
            <wp:effectExtent l="0" t="0" r="0" b="0"/>
            <wp:docPr id="34" name="Picture 3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91408" cy="445086"/>
                    </a:xfrm>
                    <a:prstGeom prst="rect">
                      <a:avLst/>
                    </a:prstGeom>
                  </pic:spPr>
                </pic:pic>
              </a:graphicData>
            </a:graphic>
          </wp:inline>
        </w:drawing>
      </w:r>
      <w:r>
        <w:rPr>
          <w:rFonts w:ascii="Arial" w:hAnsi="Arial" w:cs="Arial"/>
          <w:noProof/>
          <w:lang w:eastAsia="en-AU"/>
        </w:rPr>
        <w:tab/>
      </w:r>
      <w:r>
        <w:rPr>
          <w:rFonts w:ascii="Arial" w:hAnsi="Arial" w:cs="Arial"/>
          <w:noProof/>
          <w:lang w:eastAsia="en-AU"/>
        </w:rPr>
        <w:tab/>
      </w:r>
    </w:p>
    <w:p w14:paraId="7FD662D8" w14:textId="77777777" w:rsidR="00D95AAD" w:rsidRPr="00532D29" w:rsidRDefault="00D95AAD" w:rsidP="00973990">
      <w:pPr>
        <w:rPr>
          <w:rFonts w:ascii="Arial" w:hAnsi="Arial" w:cs="Arial"/>
        </w:rPr>
      </w:pPr>
    </w:p>
    <w:p w14:paraId="7BF1DCD4" w14:textId="77777777" w:rsidR="00D95AAD" w:rsidRPr="00532D29" w:rsidRDefault="00D95AAD" w:rsidP="00973990">
      <w:pPr>
        <w:rPr>
          <w:rFonts w:ascii="Arial" w:hAnsi="Arial" w:cs="Arial"/>
        </w:rPr>
      </w:pPr>
    </w:p>
    <w:p w14:paraId="243BDF44" w14:textId="77777777" w:rsidR="00D95AAD" w:rsidRPr="00532D29" w:rsidRDefault="00D95AAD" w:rsidP="001D59D0">
      <w:pPr>
        <w:pStyle w:val="TOC2"/>
        <w:rPr>
          <w:rFonts w:ascii="Arial" w:hAnsi="Arial" w:cs="Arial"/>
          <w:noProof/>
          <w:lang w:eastAsia="en-AU"/>
        </w:rPr>
      </w:pPr>
    </w:p>
    <w:p w14:paraId="466BA01D" w14:textId="53C31095" w:rsidR="00D95AAD" w:rsidRPr="00532D29" w:rsidRDefault="00D95AAD" w:rsidP="10778038">
      <w:pPr>
        <w:pStyle w:val="Title"/>
        <w:rPr>
          <w:rFonts w:ascii="Arial" w:hAnsi="Arial" w:cs="Arial"/>
          <w:b/>
          <w:bCs/>
          <w:color w:val="004E7D"/>
        </w:rPr>
      </w:pPr>
      <w:bookmarkStart w:id="0" w:name="_Toc151125733"/>
      <w:r w:rsidRPr="00532D29">
        <w:rPr>
          <w:rFonts w:ascii="Arial" w:hAnsi="Arial" w:cs="Arial"/>
          <w:b/>
          <w:bCs/>
          <w:color w:val="004E7D"/>
        </w:rPr>
        <w:t>TEQSA P</w:t>
      </w:r>
      <w:r w:rsidR="537F6073" w:rsidRPr="00532D29">
        <w:rPr>
          <w:rFonts w:ascii="Arial" w:hAnsi="Arial" w:cs="Arial"/>
          <w:b/>
          <w:bCs/>
          <w:color w:val="004E7D"/>
        </w:rPr>
        <w:t xml:space="preserve">ublic </w:t>
      </w:r>
      <w:r w:rsidRPr="00532D29">
        <w:rPr>
          <w:rFonts w:ascii="Arial" w:hAnsi="Arial" w:cs="Arial"/>
          <w:b/>
          <w:bCs/>
          <w:color w:val="004E7D"/>
        </w:rPr>
        <w:t>I</w:t>
      </w:r>
      <w:r w:rsidR="302D4A6C" w:rsidRPr="00532D29">
        <w:rPr>
          <w:rFonts w:ascii="Arial" w:hAnsi="Arial" w:cs="Arial"/>
          <w:b/>
          <w:bCs/>
          <w:color w:val="004E7D"/>
        </w:rPr>
        <w:t xml:space="preserve">nterest </w:t>
      </w:r>
      <w:r w:rsidRPr="00532D29">
        <w:rPr>
          <w:rFonts w:ascii="Arial" w:hAnsi="Arial" w:cs="Arial"/>
          <w:b/>
          <w:bCs/>
          <w:color w:val="004E7D"/>
        </w:rPr>
        <w:t>D</w:t>
      </w:r>
      <w:r w:rsidR="40A5BB67" w:rsidRPr="00532D29">
        <w:rPr>
          <w:rFonts w:ascii="Arial" w:hAnsi="Arial" w:cs="Arial"/>
          <w:b/>
          <w:bCs/>
          <w:color w:val="004E7D"/>
        </w:rPr>
        <w:t>isclosure</w:t>
      </w:r>
      <w:r w:rsidR="4E95BC4B" w:rsidRPr="00532D29">
        <w:rPr>
          <w:rFonts w:ascii="Arial" w:hAnsi="Arial" w:cs="Arial"/>
          <w:b/>
          <w:bCs/>
          <w:color w:val="004E7D"/>
        </w:rPr>
        <w:t xml:space="preserve"> (PID)</w:t>
      </w:r>
      <w:r w:rsidRPr="00532D29">
        <w:rPr>
          <w:rFonts w:ascii="Arial" w:hAnsi="Arial" w:cs="Arial"/>
          <w:b/>
          <w:bCs/>
          <w:color w:val="004E7D"/>
        </w:rPr>
        <w:t xml:space="preserve"> Procedures</w:t>
      </w:r>
      <w:bookmarkEnd w:id="0"/>
    </w:p>
    <w:p w14:paraId="64E68792" w14:textId="29EA4E7B" w:rsidR="00D95AAD" w:rsidRPr="00532D29" w:rsidRDefault="00D95AAD" w:rsidP="001D59D0">
      <w:pPr>
        <w:pStyle w:val="TOC2"/>
        <w:rPr>
          <w:rFonts w:ascii="Arial" w:hAnsi="Arial" w:cs="Arial"/>
          <w:noProof/>
          <w:lang w:eastAsia="en-AU"/>
        </w:rPr>
      </w:pPr>
    </w:p>
    <w:p w14:paraId="493E5CB5" w14:textId="77777777" w:rsidR="00260D53" w:rsidRPr="00532D29" w:rsidRDefault="005E3CE9" w:rsidP="00973990">
      <w:pPr>
        <w:pStyle w:val="TOC2"/>
        <w:rPr>
          <w:rFonts w:ascii="Arial" w:hAnsi="Arial" w:cs="Arial"/>
          <w:noProof/>
        </w:rPr>
      </w:pPr>
      <w:r w:rsidRPr="00532D29">
        <w:rPr>
          <w:rFonts w:ascii="Arial" w:hAnsi="Arial" w:cs="Arial"/>
          <w:noProof/>
          <w:color w:val="004E7D"/>
        </w:rPr>
        <mc:AlternateContent>
          <mc:Choice Requires="wps">
            <w:drawing>
              <wp:anchor distT="0" distB="0" distL="114300" distR="114300" simplePos="0" relativeHeight="251658240" behindDoc="1" locked="0" layoutInCell="1" allowOverlap="1" wp14:anchorId="19E0FCC1" wp14:editId="60DF2700">
                <wp:simplePos x="0" y="0"/>
                <wp:positionH relativeFrom="page">
                  <wp:posOffset>913130</wp:posOffset>
                </wp:positionH>
                <wp:positionV relativeFrom="paragraph">
                  <wp:posOffset>87630</wp:posOffset>
                </wp:positionV>
                <wp:extent cx="7055543" cy="7054752"/>
                <wp:effectExtent l="76835" t="75565" r="31750" b="31750"/>
                <wp:wrapNone/>
                <wp:docPr id="3" name="Right Triangle 3"/>
                <wp:cNvGraphicFramePr/>
                <a:graphic xmlns:a="http://schemas.openxmlformats.org/drawingml/2006/main">
                  <a:graphicData uri="http://schemas.microsoft.com/office/word/2010/wordprocessingShape">
                    <wps:wsp>
                      <wps:cNvSpPr/>
                      <wps:spPr>
                        <a:xfrm rot="16200000">
                          <a:off x="0" y="0"/>
                          <a:ext cx="7055543" cy="7054752"/>
                        </a:xfrm>
                        <a:prstGeom prst="rtTriangle">
                          <a:avLst/>
                        </a:prstGeom>
                        <a:solidFill>
                          <a:srgbClr val="F7941D">
                            <a:alpha val="80000"/>
                          </a:srgbClr>
                        </a:solidFill>
                        <a:ln w="53975">
                          <a:solidFill>
                            <a:srgbClr val="004E7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0AEF7D"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71.9pt;margin-top:6.9pt;width:555.55pt;height:555.5pt;rotation:-90;z-index:-2516582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" fillcolor="#f7941d" strokecolor="#004e7d" strokeweight="4.25pt">
                <v:fill opacity="52428f"/>
                <w10:wrap anchorx="page"/>
              </v:shape>
            </w:pict>
          </mc:Fallback>
        </mc:AlternateContent>
      </w:r>
      <w:r w:rsidR="00D02E71" w:rsidRPr="00532D29">
        <w:rPr>
          <w:rFonts w:ascii="Arial" w:hAnsi="Arial" w:cs="Arial"/>
        </w:rPr>
        <w:br w:type="page"/>
      </w:r>
      <w:r w:rsidR="00335257" w:rsidRPr="00532D29">
        <w:rPr>
          <w:rFonts w:ascii="Arial" w:hAnsi="Arial" w:cs="Arial"/>
          <w:color w:val="004D7D"/>
          <w:sz w:val="42"/>
          <w:szCs w:val="42"/>
        </w:rPr>
        <w:fldChar w:fldCharType="begin"/>
      </w:r>
      <w:r w:rsidR="00335257" w:rsidRPr="00532D29">
        <w:rPr>
          <w:rFonts w:ascii="Arial" w:hAnsi="Arial" w:cs="Arial"/>
          <w:color w:val="004D7D"/>
          <w:sz w:val="42"/>
          <w:szCs w:val="42"/>
        </w:rPr>
        <w:instrText xml:space="preserve"> TOC \o "1-3" \h \z \u </w:instrText>
      </w:r>
      <w:r w:rsidR="00335257" w:rsidRPr="00532D29">
        <w:rPr>
          <w:rFonts w:ascii="Arial" w:hAnsi="Arial" w:cs="Arial"/>
          <w:color w:val="004D7D"/>
          <w:sz w:val="42"/>
          <w:szCs w:val="42"/>
        </w:rPr>
        <w:fldChar w:fldCharType="separate"/>
      </w:r>
    </w:p>
    <w:p w14:paraId="7877557B" w14:textId="576B104B" w:rsidR="00260D53" w:rsidRPr="00532D29" w:rsidRDefault="00234E4F">
      <w:pPr>
        <w:pStyle w:val="TOC1"/>
        <w:rPr>
          <w:rFonts w:ascii="Arial" w:eastAsiaTheme="minorEastAsia" w:hAnsi="Arial" w:cs="Arial"/>
          <w:noProof/>
          <w:kern w:val="2"/>
          <w:lang w:val="en-AU" w:eastAsia="en-AU"/>
          <w14:ligatures w14:val="standardContextual"/>
        </w:rPr>
      </w:pPr>
      <w:hyperlink w:anchor="_Toc151125733" w:history="1">
        <w:r w:rsidR="00260D53" w:rsidRPr="00532D29">
          <w:rPr>
            <w:rStyle w:val="Hyperlink"/>
            <w:rFonts w:ascii="Arial" w:hAnsi="Arial" w:cs="Arial"/>
            <w:b/>
            <w:bCs/>
            <w:noProof/>
          </w:rPr>
          <w:t>TEQSA PID Procedures</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_Toc151125733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1</w:t>
        </w:r>
        <w:r w:rsidR="00260D53" w:rsidRPr="00532D29">
          <w:rPr>
            <w:rFonts w:ascii="Arial" w:hAnsi="Arial" w:cs="Arial"/>
            <w:noProof/>
            <w:webHidden/>
          </w:rPr>
          <w:fldChar w:fldCharType="end"/>
        </w:r>
      </w:hyperlink>
    </w:p>
    <w:p w14:paraId="151745B3" w14:textId="4AD8E05E" w:rsidR="00260D53" w:rsidRPr="00532D29" w:rsidRDefault="00234E4F">
      <w:pPr>
        <w:pStyle w:val="TOC2"/>
        <w:rPr>
          <w:rFonts w:ascii="Arial" w:eastAsiaTheme="minorEastAsia" w:hAnsi="Arial" w:cs="Arial"/>
          <w:noProof/>
          <w:kern w:val="2"/>
          <w:lang w:val="en-AU" w:eastAsia="en-AU"/>
          <w14:ligatures w14:val="standardContextual"/>
        </w:rPr>
      </w:pPr>
      <w:hyperlink w:anchor="_Toc151125734" w:history="1">
        <w:r w:rsidR="00260D53" w:rsidRPr="00532D29">
          <w:rPr>
            <w:rStyle w:val="Hyperlink"/>
            <w:rFonts w:ascii="Arial" w:eastAsia="Calibri" w:hAnsi="Arial" w:cs="Arial"/>
            <w:noProof/>
          </w:rPr>
          <w:t>Introduction from TEQSA's Acting Chief Executive Officer</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_Toc151125734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2</w:t>
        </w:r>
        <w:r w:rsidR="00260D53" w:rsidRPr="00532D29">
          <w:rPr>
            <w:rFonts w:ascii="Arial" w:hAnsi="Arial" w:cs="Arial"/>
            <w:noProof/>
            <w:webHidden/>
          </w:rPr>
          <w:fldChar w:fldCharType="end"/>
        </w:r>
      </w:hyperlink>
    </w:p>
    <w:p w14:paraId="38D99ACD" w14:textId="49CA40A5" w:rsidR="00260D53" w:rsidRPr="00532D29" w:rsidRDefault="00234E4F">
      <w:pPr>
        <w:pStyle w:val="TOC2"/>
        <w:rPr>
          <w:rFonts w:ascii="Arial" w:eastAsiaTheme="minorEastAsia" w:hAnsi="Arial" w:cs="Arial"/>
          <w:noProof/>
          <w:kern w:val="2"/>
          <w:lang w:val="en-AU" w:eastAsia="en-AU"/>
          <w14:ligatures w14:val="standardContextual"/>
        </w:rPr>
      </w:pPr>
      <w:hyperlink w:anchor="_Toc151125735" w:history="1">
        <w:r w:rsidR="00260D53" w:rsidRPr="00532D29">
          <w:rPr>
            <w:rStyle w:val="Hyperlink"/>
            <w:rFonts w:ascii="Arial" w:eastAsia="Calibri" w:hAnsi="Arial" w:cs="Arial"/>
            <w:noProof/>
          </w:rPr>
          <w:t>1. Purpose</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_Toc151125735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3</w:t>
        </w:r>
        <w:r w:rsidR="00260D53" w:rsidRPr="00532D29">
          <w:rPr>
            <w:rFonts w:ascii="Arial" w:hAnsi="Arial" w:cs="Arial"/>
            <w:noProof/>
            <w:webHidden/>
          </w:rPr>
          <w:fldChar w:fldCharType="end"/>
        </w:r>
      </w:hyperlink>
    </w:p>
    <w:p w14:paraId="0F147BD9" w14:textId="452B0AD2" w:rsidR="00260D53" w:rsidRPr="00532D29" w:rsidRDefault="00234E4F">
      <w:pPr>
        <w:pStyle w:val="TOC3"/>
        <w:rPr>
          <w:rFonts w:ascii="Arial" w:eastAsiaTheme="minorEastAsia" w:hAnsi="Arial" w:cs="Arial"/>
          <w:noProof/>
          <w:kern w:val="2"/>
          <w:lang w:val="en-AU" w:eastAsia="en-AU"/>
          <w14:ligatures w14:val="standardContextual"/>
        </w:rPr>
      </w:pPr>
      <w:hyperlink w:anchor="_Toc151125736" w:history="1">
        <w:r w:rsidR="00260D53" w:rsidRPr="00532D29">
          <w:rPr>
            <w:rStyle w:val="Hyperlink"/>
            <w:rFonts w:ascii="Arial" w:eastAsia="Calibri" w:hAnsi="Arial" w:cs="Arial"/>
            <w:noProof/>
          </w:rPr>
          <w:t>Definitions</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_Toc151125736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3</w:t>
        </w:r>
        <w:r w:rsidR="00260D53" w:rsidRPr="00532D29">
          <w:rPr>
            <w:rFonts w:ascii="Arial" w:hAnsi="Arial" w:cs="Arial"/>
            <w:noProof/>
            <w:webHidden/>
          </w:rPr>
          <w:fldChar w:fldCharType="end"/>
        </w:r>
      </w:hyperlink>
    </w:p>
    <w:p w14:paraId="1FDFF15A" w14:textId="3B0DB043" w:rsidR="00260D53" w:rsidRPr="00532D29" w:rsidRDefault="00234E4F">
      <w:pPr>
        <w:pStyle w:val="TOC2"/>
        <w:rPr>
          <w:rFonts w:ascii="Arial" w:eastAsiaTheme="minorEastAsia" w:hAnsi="Arial" w:cs="Arial"/>
          <w:noProof/>
          <w:kern w:val="2"/>
          <w:lang w:val="en-AU" w:eastAsia="en-AU"/>
          <w14:ligatures w14:val="standardContextual"/>
        </w:rPr>
      </w:pPr>
      <w:hyperlink w:anchor="_Toc151125737" w:history="1">
        <w:r w:rsidR="00260D53" w:rsidRPr="00532D29">
          <w:rPr>
            <w:rStyle w:val="Hyperlink"/>
            <w:rFonts w:ascii="Arial" w:eastAsia="Calibri" w:hAnsi="Arial" w:cs="Arial"/>
            <w:noProof/>
          </w:rPr>
          <w:t>2. What is a Public Interest Disclosure?</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_Toc151125737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4</w:t>
        </w:r>
        <w:r w:rsidR="00260D53" w:rsidRPr="00532D29">
          <w:rPr>
            <w:rFonts w:ascii="Arial" w:hAnsi="Arial" w:cs="Arial"/>
            <w:noProof/>
            <w:webHidden/>
          </w:rPr>
          <w:fldChar w:fldCharType="end"/>
        </w:r>
      </w:hyperlink>
    </w:p>
    <w:p w14:paraId="6D3AC20A" w14:textId="64F4085D" w:rsidR="00260D53" w:rsidRPr="00532D29" w:rsidRDefault="00234E4F">
      <w:pPr>
        <w:pStyle w:val="TOC2"/>
        <w:rPr>
          <w:rFonts w:ascii="Arial" w:eastAsiaTheme="minorEastAsia" w:hAnsi="Arial" w:cs="Arial"/>
          <w:noProof/>
          <w:kern w:val="2"/>
          <w:lang w:val="en-AU" w:eastAsia="en-AU"/>
          <w14:ligatures w14:val="standardContextual"/>
        </w:rPr>
      </w:pPr>
      <w:hyperlink w:anchor="_Toc151125738" w:history="1">
        <w:r w:rsidR="00260D53" w:rsidRPr="00532D29">
          <w:rPr>
            <w:rStyle w:val="Hyperlink"/>
            <w:rFonts w:ascii="Arial" w:eastAsia="Calibri" w:hAnsi="Arial" w:cs="Arial"/>
            <w:noProof/>
          </w:rPr>
          <w:t>3. Interaction with the National Anti-Corruption Commission</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_Toc151125738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5</w:t>
        </w:r>
        <w:r w:rsidR="00260D53" w:rsidRPr="00532D29">
          <w:rPr>
            <w:rFonts w:ascii="Arial" w:hAnsi="Arial" w:cs="Arial"/>
            <w:noProof/>
            <w:webHidden/>
          </w:rPr>
          <w:fldChar w:fldCharType="end"/>
        </w:r>
      </w:hyperlink>
    </w:p>
    <w:p w14:paraId="0232EA41" w14:textId="234F7159" w:rsidR="00260D53" w:rsidRPr="00532D29" w:rsidRDefault="00234E4F">
      <w:pPr>
        <w:pStyle w:val="TOC2"/>
        <w:rPr>
          <w:rFonts w:ascii="Arial" w:eastAsiaTheme="minorEastAsia" w:hAnsi="Arial" w:cs="Arial"/>
          <w:noProof/>
          <w:kern w:val="2"/>
          <w:lang w:val="en-AU" w:eastAsia="en-AU"/>
          <w14:ligatures w14:val="standardContextual"/>
        </w:rPr>
      </w:pPr>
      <w:hyperlink w:anchor="_Toc151125739" w:history="1">
        <w:r w:rsidR="00260D53" w:rsidRPr="00532D29">
          <w:rPr>
            <w:rStyle w:val="Hyperlink"/>
            <w:rFonts w:ascii="Arial" w:eastAsia="Calibri" w:hAnsi="Arial" w:cs="Arial"/>
            <w:noProof/>
          </w:rPr>
          <w:t>4. Making a Public Interest Disclosure</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_Toc151125739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6</w:t>
        </w:r>
        <w:r w:rsidR="00260D53" w:rsidRPr="00532D29">
          <w:rPr>
            <w:rFonts w:ascii="Arial" w:hAnsi="Arial" w:cs="Arial"/>
            <w:noProof/>
            <w:webHidden/>
          </w:rPr>
          <w:fldChar w:fldCharType="end"/>
        </w:r>
      </w:hyperlink>
    </w:p>
    <w:p w14:paraId="76517363" w14:textId="64EED9C5" w:rsidR="00260D53" w:rsidRPr="00532D29" w:rsidRDefault="00234E4F">
      <w:pPr>
        <w:pStyle w:val="TOC3"/>
        <w:rPr>
          <w:rFonts w:ascii="Arial" w:eastAsiaTheme="minorEastAsia" w:hAnsi="Arial" w:cs="Arial"/>
          <w:noProof/>
          <w:kern w:val="2"/>
          <w:lang w:val="en-AU" w:eastAsia="en-AU"/>
          <w14:ligatures w14:val="standardContextual"/>
        </w:rPr>
      </w:pPr>
      <w:hyperlink w:anchor="_Toc151125740" w:history="1">
        <w:r w:rsidR="00260D53" w:rsidRPr="00532D29">
          <w:rPr>
            <w:rStyle w:val="Hyperlink"/>
            <w:rFonts w:ascii="Arial" w:eastAsia="Calibri" w:hAnsi="Arial" w:cs="Arial"/>
            <w:noProof/>
          </w:rPr>
          <w:t>Orally or in writing</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_Toc151125740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7</w:t>
        </w:r>
        <w:r w:rsidR="00260D53" w:rsidRPr="00532D29">
          <w:rPr>
            <w:rFonts w:ascii="Arial" w:hAnsi="Arial" w:cs="Arial"/>
            <w:noProof/>
            <w:webHidden/>
          </w:rPr>
          <w:fldChar w:fldCharType="end"/>
        </w:r>
      </w:hyperlink>
    </w:p>
    <w:p w14:paraId="2DC48A84" w14:textId="3EC0A44D" w:rsidR="00260D53" w:rsidRPr="00532D29" w:rsidRDefault="00234E4F">
      <w:pPr>
        <w:pStyle w:val="TOC3"/>
        <w:rPr>
          <w:rFonts w:ascii="Arial" w:eastAsiaTheme="minorEastAsia" w:hAnsi="Arial" w:cs="Arial"/>
          <w:noProof/>
          <w:kern w:val="2"/>
          <w:lang w:val="en-AU" w:eastAsia="en-AU"/>
          <w14:ligatures w14:val="standardContextual"/>
        </w:rPr>
      </w:pPr>
      <w:hyperlink w:anchor="_Toc151125741" w:history="1">
        <w:r w:rsidR="00260D53" w:rsidRPr="00532D29">
          <w:rPr>
            <w:rStyle w:val="Hyperlink"/>
            <w:rFonts w:ascii="Arial" w:eastAsia="Calibri" w:hAnsi="Arial" w:cs="Arial"/>
            <w:noProof/>
          </w:rPr>
          <w:t>Anonymity and confidentiality</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_Toc151125741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8</w:t>
        </w:r>
        <w:r w:rsidR="00260D53" w:rsidRPr="00532D29">
          <w:rPr>
            <w:rFonts w:ascii="Arial" w:hAnsi="Arial" w:cs="Arial"/>
            <w:noProof/>
            <w:webHidden/>
          </w:rPr>
          <w:fldChar w:fldCharType="end"/>
        </w:r>
      </w:hyperlink>
    </w:p>
    <w:p w14:paraId="6802A392" w14:textId="511B7AF4" w:rsidR="00260D53" w:rsidRPr="00532D29" w:rsidRDefault="00234E4F">
      <w:pPr>
        <w:pStyle w:val="TOC3"/>
        <w:rPr>
          <w:rFonts w:ascii="Arial" w:eastAsiaTheme="minorEastAsia" w:hAnsi="Arial" w:cs="Arial"/>
          <w:noProof/>
          <w:kern w:val="2"/>
          <w:lang w:val="en-AU" w:eastAsia="en-AU"/>
          <w14:ligatures w14:val="standardContextual"/>
        </w:rPr>
      </w:pPr>
      <w:hyperlink w:anchor="_Toc151125742" w:history="1">
        <w:r w:rsidR="00260D53" w:rsidRPr="00532D29">
          <w:rPr>
            <w:rStyle w:val="Hyperlink"/>
            <w:rFonts w:ascii="Arial" w:eastAsia="Calibri" w:hAnsi="Arial" w:cs="Arial"/>
            <w:noProof/>
          </w:rPr>
          <w:t>Internal disclosures</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_Toc151125742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8</w:t>
        </w:r>
        <w:r w:rsidR="00260D53" w:rsidRPr="00532D29">
          <w:rPr>
            <w:rFonts w:ascii="Arial" w:hAnsi="Arial" w:cs="Arial"/>
            <w:noProof/>
            <w:webHidden/>
          </w:rPr>
          <w:fldChar w:fldCharType="end"/>
        </w:r>
      </w:hyperlink>
    </w:p>
    <w:p w14:paraId="484A0C07" w14:textId="6B1A05C1" w:rsidR="00260D53" w:rsidRPr="00532D29" w:rsidRDefault="00234E4F">
      <w:pPr>
        <w:pStyle w:val="TOC2"/>
        <w:rPr>
          <w:rFonts w:ascii="Arial" w:eastAsiaTheme="minorEastAsia" w:hAnsi="Arial" w:cs="Arial"/>
          <w:noProof/>
          <w:kern w:val="2"/>
          <w:lang w:val="en-AU" w:eastAsia="en-AU"/>
          <w14:ligatures w14:val="standardContextual"/>
        </w:rPr>
      </w:pPr>
      <w:hyperlink w:anchor="_Toc151125743" w:history="1">
        <w:r w:rsidR="00260D53" w:rsidRPr="00532D29">
          <w:rPr>
            <w:rStyle w:val="Hyperlink"/>
            <w:rFonts w:ascii="Arial" w:eastAsia="Calibri" w:hAnsi="Arial" w:cs="Arial"/>
            <w:noProof/>
          </w:rPr>
          <w:t>5. Handling and investigating disclosures</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_Toc151125743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9</w:t>
        </w:r>
        <w:r w:rsidR="00260D53" w:rsidRPr="00532D29">
          <w:rPr>
            <w:rFonts w:ascii="Arial" w:hAnsi="Arial" w:cs="Arial"/>
            <w:noProof/>
            <w:webHidden/>
          </w:rPr>
          <w:fldChar w:fldCharType="end"/>
        </w:r>
      </w:hyperlink>
    </w:p>
    <w:p w14:paraId="5BBC4946" w14:textId="1F29CBC6" w:rsidR="00260D53" w:rsidRPr="00532D29" w:rsidRDefault="00234E4F">
      <w:pPr>
        <w:pStyle w:val="TOC3"/>
        <w:rPr>
          <w:rFonts w:ascii="Arial" w:eastAsiaTheme="minorEastAsia" w:hAnsi="Arial" w:cs="Arial"/>
          <w:noProof/>
          <w:kern w:val="2"/>
          <w:lang w:val="en-AU" w:eastAsia="en-AU"/>
          <w14:ligatures w14:val="standardContextual"/>
        </w:rPr>
      </w:pPr>
      <w:hyperlink w:anchor="_Toc151125744" w:history="1">
        <w:r w:rsidR="00260D53" w:rsidRPr="00532D29">
          <w:rPr>
            <w:rStyle w:val="Hyperlink"/>
            <w:rFonts w:ascii="Arial" w:eastAsia="Calibri" w:hAnsi="Arial" w:cs="Arial"/>
            <w:noProof/>
          </w:rPr>
          <w:t>Initial consideration and allocation</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_Toc151125744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9</w:t>
        </w:r>
        <w:r w:rsidR="00260D53" w:rsidRPr="00532D29">
          <w:rPr>
            <w:rFonts w:ascii="Arial" w:hAnsi="Arial" w:cs="Arial"/>
            <w:noProof/>
            <w:webHidden/>
          </w:rPr>
          <w:fldChar w:fldCharType="end"/>
        </w:r>
      </w:hyperlink>
    </w:p>
    <w:p w14:paraId="6153EF60" w14:textId="47B552B3" w:rsidR="00260D53" w:rsidRPr="00532D29" w:rsidRDefault="00234E4F">
      <w:pPr>
        <w:pStyle w:val="TOC3"/>
        <w:rPr>
          <w:rFonts w:ascii="Arial" w:eastAsiaTheme="minorEastAsia" w:hAnsi="Arial" w:cs="Arial"/>
          <w:noProof/>
          <w:kern w:val="2"/>
          <w:lang w:val="en-AU" w:eastAsia="en-AU"/>
          <w14:ligatures w14:val="standardContextual"/>
        </w:rPr>
      </w:pPr>
      <w:hyperlink w:anchor="_Toc151125745" w:history="1">
        <w:r w:rsidR="00260D53" w:rsidRPr="00532D29">
          <w:rPr>
            <w:rStyle w:val="Hyperlink"/>
            <w:rFonts w:ascii="Arial" w:eastAsia="Calibri" w:hAnsi="Arial" w:cs="Arial"/>
            <w:noProof/>
          </w:rPr>
          <w:t>Reprisal risk assessment</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_Toc151125745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10</w:t>
        </w:r>
        <w:r w:rsidR="00260D53" w:rsidRPr="00532D29">
          <w:rPr>
            <w:rFonts w:ascii="Arial" w:hAnsi="Arial" w:cs="Arial"/>
            <w:noProof/>
            <w:webHidden/>
          </w:rPr>
          <w:fldChar w:fldCharType="end"/>
        </w:r>
      </w:hyperlink>
    </w:p>
    <w:p w14:paraId="6C1313C2" w14:textId="3391E8EA" w:rsidR="00260D53" w:rsidRPr="00532D29" w:rsidRDefault="00234E4F">
      <w:pPr>
        <w:pStyle w:val="TOC3"/>
        <w:rPr>
          <w:rFonts w:ascii="Arial" w:eastAsiaTheme="minorEastAsia" w:hAnsi="Arial" w:cs="Arial"/>
          <w:noProof/>
          <w:kern w:val="2"/>
          <w:lang w:val="en-AU" w:eastAsia="en-AU"/>
          <w14:ligatures w14:val="standardContextual"/>
        </w:rPr>
      </w:pPr>
      <w:hyperlink w:anchor="_Toc151125746" w:history="1">
        <w:r w:rsidR="00260D53" w:rsidRPr="00532D29">
          <w:rPr>
            <w:rStyle w:val="Hyperlink"/>
            <w:rFonts w:ascii="Arial" w:eastAsia="Calibri" w:hAnsi="Arial" w:cs="Arial"/>
            <w:noProof/>
          </w:rPr>
          <w:t>Protection and support for disclosers</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_Toc151125746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11</w:t>
        </w:r>
        <w:r w:rsidR="00260D53" w:rsidRPr="00532D29">
          <w:rPr>
            <w:rFonts w:ascii="Arial" w:hAnsi="Arial" w:cs="Arial"/>
            <w:noProof/>
            <w:webHidden/>
          </w:rPr>
          <w:fldChar w:fldCharType="end"/>
        </w:r>
      </w:hyperlink>
    </w:p>
    <w:p w14:paraId="32E9EA2B" w14:textId="75D73A07" w:rsidR="00260D53" w:rsidRPr="00532D29" w:rsidRDefault="00234E4F">
      <w:pPr>
        <w:pStyle w:val="TOC3"/>
        <w:rPr>
          <w:rFonts w:ascii="Arial" w:eastAsiaTheme="minorEastAsia" w:hAnsi="Arial" w:cs="Arial"/>
          <w:noProof/>
          <w:kern w:val="2"/>
          <w:lang w:val="en-AU" w:eastAsia="en-AU"/>
          <w14:ligatures w14:val="standardContextual"/>
        </w:rPr>
      </w:pPr>
      <w:hyperlink w:anchor="_Toc151125747" w:history="1">
        <w:r w:rsidR="00260D53" w:rsidRPr="00532D29">
          <w:rPr>
            <w:rStyle w:val="Hyperlink"/>
            <w:rFonts w:ascii="Arial" w:eastAsia="Calibri" w:hAnsi="Arial" w:cs="Arial"/>
            <w:noProof/>
          </w:rPr>
          <w:t>Consideration and investigation</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_Toc151125747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12</w:t>
        </w:r>
        <w:r w:rsidR="00260D53" w:rsidRPr="00532D29">
          <w:rPr>
            <w:rFonts w:ascii="Arial" w:hAnsi="Arial" w:cs="Arial"/>
            <w:noProof/>
            <w:webHidden/>
          </w:rPr>
          <w:fldChar w:fldCharType="end"/>
        </w:r>
      </w:hyperlink>
    </w:p>
    <w:p w14:paraId="52C954A7" w14:textId="6606384D" w:rsidR="00260D53" w:rsidRPr="00532D29" w:rsidRDefault="00234E4F">
      <w:pPr>
        <w:pStyle w:val="TOC3"/>
        <w:rPr>
          <w:rFonts w:ascii="Arial" w:eastAsiaTheme="minorEastAsia" w:hAnsi="Arial" w:cs="Arial"/>
          <w:noProof/>
          <w:kern w:val="2"/>
          <w:lang w:val="en-AU" w:eastAsia="en-AU"/>
          <w14:ligatures w14:val="standardContextual"/>
        </w:rPr>
      </w:pPr>
      <w:hyperlink w:anchor="_Toc151125748" w:history="1">
        <w:r w:rsidR="00260D53" w:rsidRPr="00532D29">
          <w:rPr>
            <w:rStyle w:val="Hyperlink"/>
            <w:rFonts w:ascii="Arial" w:eastAsia="Calibri" w:hAnsi="Arial" w:cs="Arial"/>
            <w:noProof/>
          </w:rPr>
          <w:t>Conduct of the investigation</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_Toc151125748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13</w:t>
        </w:r>
        <w:r w:rsidR="00260D53" w:rsidRPr="00532D29">
          <w:rPr>
            <w:rFonts w:ascii="Arial" w:hAnsi="Arial" w:cs="Arial"/>
            <w:noProof/>
            <w:webHidden/>
          </w:rPr>
          <w:fldChar w:fldCharType="end"/>
        </w:r>
      </w:hyperlink>
    </w:p>
    <w:p w14:paraId="10C16D20" w14:textId="7BB2EDDB" w:rsidR="00260D53" w:rsidRPr="00532D29" w:rsidRDefault="00234E4F">
      <w:pPr>
        <w:pStyle w:val="TOC3"/>
        <w:rPr>
          <w:rFonts w:ascii="Arial" w:eastAsiaTheme="minorEastAsia" w:hAnsi="Arial" w:cs="Arial"/>
          <w:noProof/>
          <w:kern w:val="2"/>
          <w:lang w:val="en-AU" w:eastAsia="en-AU"/>
          <w14:ligatures w14:val="standardContextual"/>
        </w:rPr>
      </w:pPr>
      <w:hyperlink w:anchor="_Toc151125749" w:history="1">
        <w:r w:rsidR="00260D53" w:rsidRPr="00532D29">
          <w:rPr>
            <w:rStyle w:val="Hyperlink"/>
            <w:rFonts w:ascii="Arial" w:eastAsia="Calibri" w:hAnsi="Arial" w:cs="Arial"/>
            <w:noProof/>
          </w:rPr>
          <w:t>Investigation report</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_Toc151125749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14</w:t>
        </w:r>
        <w:r w:rsidR="00260D53" w:rsidRPr="00532D29">
          <w:rPr>
            <w:rFonts w:ascii="Arial" w:hAnsi="Arial" w:cs="Arial"/>
            <w:noProof/>
            <w:webHidden/>
          </w:rPr>
          <w:fldChar w:fldCharType="end"/>
        </w:r>
      </w:hyperlink>
    </w:p>
    <w:p w14:paraId="67843206" w14:textId="06BD1EF2" w:rsidR="00260D53" w:rsidRPr="00532D29" w:rsidRDefault="00234E4F">
      <w:pPr>
        <w:pStyle w:val="TOC3"/>
        <w:rPr>
          <w:rFonts w:ascii="Arial" w:eastAsiaTheme="minorEastAsia" w:hAnsi="Arial" w:cs="Arial"/>
          <w:noProof/>
          <w:kern w:val="2"/>
          <w:lang w:val="en-AU" w:eastAsia="en-AU"/>
          <w14:ligatures w14:val="standardContextual"/>
        </w:rPr>
      </w:pPr>
      <w:hyperlink w:anchor="_Toc151125750" w:history="1">
        <w:r w:rsidR="00260D53" w:rsidRPr="00532D29">
          <w:rPr>
            <w:rStyle w:val="Hyperlink"/>
            <w:rFonts w:ascii="Arial" w:eastAsia="Calibri" w:hAnsi="Arial" w:cs="Arial"/>
            <w:noProof/>
          </w:rPr>
          <w:t>Record keeping</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_Toc151125750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15</w:t>
        </w:r>
        <w:r w:rsidR="00260D53" w:rsidRPr="00532D29">
          <w:rPr>
            <w:rFonts w:ascii="Arial" w:hAnsi="Arial" w:cs="Arial"/>
            <w:noProof/>
            <w:webHidden/>
          </w:rPr>
          <w:fldChar w:fldCharType="end"/>
        </w:r>
      </w:hyperlink>
    </w:p>
    <w:p w14:paraId="5580025F" w14:textId="609F608D" w:rsidR="00260D53" w:rsidRPr="00532D29" w:rsidRDefault="00234E4F">
      <w:pPr>
        <w:pStyle w:val="TOC2"/>
        <w:rPr>
          <w:rFonts w:ascii="Arial" w:eastAsiaTheme="minorEastAsia" w:hAnsi="Arial" w:cs="Arial"/>
          <w:noProof/>
          <w:kern w:val="2"/>
          <w:lang w:val="en-AU" w:eastAsia="en-AU"/>
          <w14:ligatures w14:val="standardContextual"/>
        </w:rPr>
      </w:pPr>
      <w:hyperlink w:anchor="_Toc151125751" w:history="1">
        <w:r w:rsidR="00260D53" w:rsidRPr="00532D29">
          <w:rPr>
            <w:rStyle w:val="Hyperlink"/>
            <w:rFonts w:ascii="Arial" w:eastAsia="Calibri" w:hAnsi="Arial" w:cs="Arial"/>
            <w:noProof/>
          </w:rPr>
          <w:t>6. Review of process and outcome</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_Toc151125751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15</w:t>
        </w:r>
        <w:r w:rsidR="00260D53" w:rsidRPr="00532D29">
          <w:rPr>
            <w:rFonts w:ascii="Arial" w:hAnsi="Arial" w:cs="Arial"/>
            <w:noProof/>
            <w:webHidden/>
          </w:rPr>
          <w:fldChar w:fldCharType="end"/>
        </w:r>
      </w:hyperlink>
    </w:p>
    <w:p w14:paraId="2AE7C975" w14:textId="17435431" w:rsidR="00260D53" w:rsidRPr="00532D29" w:rsidRDefault="00234E4F">
      <w:pPr>
        <w:pStyle w:val="TOC2"/>
        <w:rPr>
          <w:rFonts w:ascii="Arial" w:eastAsiaTheme="minorEastAsia" w:hAnsi="Arial" w:cs="Arial"/>
          <w:noProof/>
          <w:kern w:val="2"/>
          <w:lang w:val="en-AU" w:eastAsia="en-AU"/>
          <w14:ligatures w14:val="standardContextual"/>
        </w:rPr>
      </w:pPr>
      <w:hyperlink w:anchor="_Toc151125752" w:history="1">
        <w:r w:rsidR="00260D53" w:rsidRPr="00532D29">
          <w:rPr>
            <w:rStyle w:val="Hyperlink"/>
            <w:rFonts w:ascii="Arial" w:eastAsia="Calibri" w:hAnsi="Arial" w:cs="Arial"/>
            <w:noProof/>
          </w:rPr>
          <w:t>7. Questions</w:t>
        </w:r>
        <w:r w:rsidR="00260D53" w:rsidRPr="00532D29">
          <w:rPr>
            <w:rFonts w:ascii="Arial" w:hAnsi="Arial" w:cs="Arial"/>
            <w:noProof/>
            <w:webHidden/>
          </w:rPr>
          <w:tab/>
        </w:r>
        <w:r w:rsidR="00260D53" w:rsidRPr="00532D29">
          <w:rPr>
            <w:rFonts w:ascii="Arial" w:hAnsi="Arial" w:cs="Arial"/>
            <w:noProof/>
            <w:webHidden/>
          </w:rPr>
          <w:fldChar w:fldCharType="begin"/>
        </w:r>
        <w:r w:rsidR="00260D53" w:rsidRPr="00532D29">
          <w:rPr>
            <w:rFonts w:ascii="Arial" w:hAnsi="Arial" w:cs="Arial"/>
            <w:noProof/>
            <w:webHidden/>
          </w:rPr>
          <w:instrText xml:space="preserve"> PAGEREF _Toc151125752 \h </w:instrText>
        </w:r>
        <w:r w:rsidR="00260D53" w:rsidRPr="00532D29">
          <w:rPr>
            <w:rFonts w:ascii="Arial" w:hAnsi="Arial" w:cs="Arial"/>
            <w:noProof/>
            <w:webHidden/>
          </w:rPr>
        </w:r>
        <w:r w:rsidR="00260D53" w:rsidRPr="00532D29">
          <w:rPr>
            <w:rFonts w:ascii="Arial" w:hAnsi="Arial" w:cs="Arial"/>
            <w:noProof/>
            <w:webHidden/>
          </w:rPr>
          <w:fldChar w:fldCharType="separate"/>
        </w:r>
        <w:r w:rsidR="00260D53" w:rsidRPr="00532D29">
          <w:rPr>
            <w:rFonts w:ascii="Arial" w:hAnsi="Arial" w:cs="Arial"/>
            <w:noProof/>
            <w:webHidden/>
          </w:rPr>
          <w:t>16</w:t>
        </w:r>
        <w:r w:rsidR="00260D53" w:rsidRPr="00532D29">
          <w:rPr>
            <w:rFonts w:ascii="Arial" w:hAnsi="Arial" w:cs="Arial"/>
            <w:noProof/>
            <w:webHidden/>
          </w:rPr>
          <w:fldChar w:fldCharType="end"/>
        </w:r>
      </w:hyperlink>
    </w:p>
    <w:p w14:paraId="19286A45" w14:textId="58A43894" w:rsidR="00260D53" w:rsidRPr="00532D29" w:rsidRDefault="00234E4F">
      <w:pPr>
        <w:pStyle w:val="TOC2"/>
        <w:rPr>
          <w:rFonts w:ascii="Arial" w:eastAsiaTheme="minorEastAsia" w:hAnsi="Arial" w:cs="Arial"/>
          <w:noProof/>
          <w:kern w:val="2"/>
          <w:lang w:val="en-AU" w:eastAsia="en-AU"/>
          <w14:ligatures w14:val="standardContextual"/>
        </w:rPr>
      </w:pPr>
      <w:hyperlink w:anchor="_Toc151125753" w:history="1"/>
    </w:p>
    <w:p w14:paraId="5223C00A" w14:textId="5D0C41B4" w:rsidR="00D02E71" w:rsidRPr="00532D29" w:rsidRDefault="00335257">
      <w:pPr>
        <w:rPr>
          <w:rFonts w:ascii="Arial" w:eastAsia="Calibri" w:hAnsi="Arial" w:cs="Arial"/>
          <w:color w:val="004D7D"/>
          <w:sz w:val="42"/>
          <w:szCs w:val="42"/>
        </w:rPr>
      </w:pPr>
      <w:r w:rsidRPr="00532D29">
        <w:rPr>
          <w:rFonts w:ascii="Arial" w:eastAsia="Calibri" w:hAnsi="Arial" w:cs="Arial"/>
          <w:color w:val="004D7D"/>
          <w:sz w:val="42"/>
          <w:szCs w:val="42"/>
        </w:rPr>
        <w:fldChar w:fldCharType="end"/>
      </w:r>
    </w:p>
    <w:p w14:paraId="4AF13FA0" w14:textId="1CC31A47" w:rsidR="7D066A45" w:rsidRPr="00532D29" w:rsidRDefault="7D066A45" w:rsidP="5FBC1E8D">
      <w:pPr>
        <w:pStyle w:val="Heading2"/>
        <w:rPr>
          <w:rFonts w:ascii="Arial" w:hAnsi="Arial" w:cs="Arial"/>
        </w:rPr>
      </w:pPr>
      <w:bookmarkStart w:id="1" w:name="_Toc151125734"/>
      <w:r w:rsidRPr="00532D29">
        <w:rPr>
          <w:rFonts w:ascii="Arial" w:eastAsia="Calibri" w:hAnsi="Arial" w:cs="Arial"/>
          <w:color w:val="004D7D"/>
          <w:sz w:val="42"/>
          <w:szCs w:val="42"/>
        </w:rPr>
        <w:t xml:space="preserve">Introduction from TEQSA's </w:t>
      </w:r>
      <w:r w:rsidR="00EC3350" w:rsidRPr="00532D29">
        <w:rPr>
          <w:rFonts w:ascii="Arial" w:eastAsia="Calibri" w:hAnsi="Arial" w:cs="Arial"/>
          <w:color w:val="004D7D"/>
          <w:sz w:val="42"/>
          <w:szCs w:val="42"/>
        </w:rPr>
        <w:t xml:space="preserve">Acting </w:t>
      </w:r>
      <w:r w:rsidRPr="00532D29">
        <w:rPr>
          <w:rFonts w:ascii="Arial" w:eastAsia="Calibri" w:hAnsi="Arial" w:cs="Arial"/>
          <w:color w:val="004D7D"/>
          <w:sz w:val="42"/>
          <w:szCs w:val="42"/>
        </w:rPr>
        <w:t>Chief Executive Officer</w:t>
      </w:r>
      <w:bookmarkEnd w:id="1"/>
    </w:p>
    <w:p w14:paraId="3530DDC6" w14:textId="3D9C37EB" w:rsidR="7D066A45" w:rsidRPr="00532D29" w:rsidRDefault="7D066A45" w:rsidP="5FBC1E8D">
      <w:pPr>
        <w:rPr>
          <w:rFonts w:ascii="Arial" w:hAnsi="Arial" w:cs="Arial"/>
        </w:rPr>
      </w:pPr>
      <w:r w:rsidRPr="00532D29">
        <w:rPr>
          <w:rFonts w:ascii="Arial" w:eastAsia="Calibri" w:hAnsi="Arial" w:cs="Arial"/>
          <w:color w:val="565A66"/>
          <w:sz w:val="26"/>
          <w:szCs w:val="26"/>
        </w:rPr>
        <w:t>The Tertiary Education Quality and Standards Agency (TEQSA), its managers and staff are committed to the highest standards of ethical and accountable conduct. TEQSA recognises that support for staff who make a public interest disclosure will greatly influence the success of the public interest disclosure scheme, and gives TEQSA the best chance to fix problems directly.</w:t>
      </w:r>
    </w:p>
    <w:p w14:paraId="3D31C600" w14:textId="0773854C" w:rsidR="7D066A45" w:rsidRPr="00532D29" w:rsidRDefault="7D066A45" w:rsidP="5FBC1E8D">
      <w:pPr>
        <w:rPr>
          <w:rFonts w:ascii="Arial" w:hAnsi="Arial" w:cs="Arial"/>
        </w:rPr>
      </w:pPr>
      <w:r w:rsidRPr="00532D29">
        <w:rPr>
          <w:rFonts w:ascii="Arial" w:eastAsia="Calibri" w:hAnsi="Arial" w:cs="Arial"/>
          <w:color w:val="565A66"/>
          <w:sz w:val="26"/>
          <w:szCs w:val="26"/>
        </w:rPr>
        <w:t xml:space="preserve">These procedures are part of TEQSA's commitment. I encourage TEQSA staff and others working with TEQSA to familiarise themselves with the procedures and with the public interest disclosure scheme more generally. Further information about the scheme is provided in the </w:t>
      </w:r>
      <w:hyperlink r:id="rId12">
        <w:r w:rsidRPr="00532D29">
          <w:rPr>
            <w:rStyle w:val="Hyperlink"/>
            <w:rFonts w:ascii="Arial" w:eastAsia="Calibri" w:hAnsi="Arial" w:cs="Arial"/>
            <w:color w:val="003E64"/>
            <w:sz w:val="26"/>
            <w:szCs w:val="26"/>
          </w:rPr>
          <w:t xml:space="preserve">Commonwealth Ombudsman's </w:t>
        </w:r>
        <w:r w:rsidRPr="00532D29">
          <w:rPr>
            <w:rStyle w:val="Hyperlink"/>
            <w:rFonts w:ascii="Arial" w:eastAsia="Calibri" w:hAnsi="Arial" w:cs="Arial"/>
            <w:color w:val="003E64"/>
            <w:sz w:val="26"/>
            <w:szCs w:val="26"/>
          </w:rPr>
          <w:lastRenderedPageBreak/>
          <w:t>Guidelines</w:t>
        </w:r>
      </w:hyperlink>
      <w:r w:rsidR="0071057F" w:rsidRPr="00532D29">
        <w:rPr>
          <w:rFonts w:ascii="Arial" w:eastAsia="Calibri" w:hAnsi="Arial" w:cs="Arial"/>
          <w:color w:val="565A66"/>
          <w:sz w:val="26"/>
          <w:szCs w:val="26"/>
        </w:rPr>
        <w:t xml:space="preserve"> and on the Commonwealth Ombudsman’s </w:t>
      </w:r>
      <w:r w:rsidR="00487C3D" w:rsidRPr="00532D29">
        <w:rPr>
          <w:rFonts w:ascii="Arial" w:eastAsia="Calibri" w:hAnsi="Arial" w:cs="Arial"/>
          <w:color w:val="565A66"/>
          <w:sz w:val="26"/>
          <w:szCs w:val="26"/>
        </w:rPr>
        <w:t xml:space="preserve">website: </w:t>
      </w:r>
      <w:hyperlink r:id="rId13">
        <w:r w:rsidR="00F30920" w:rsidRPr="00532D29">
          <w:rPr>
            <w:rStyle w:val="Hyperlink"/>
            <w:rFonts w:ascii="Arial" w:hAnsi="Arial" w:cs="Arial"/>
            <w:sz w:val="26"/>
            <w:szCs w:val="26"/>
          </w:rPr>
          <w:t>Public interest disclosure (whistleblowing) | Commonwealth Ombudsman</w:t>
        </w:r>
      </w:hyperlink>
      <w:r w:rsidR="00F30920" w:rsidRPr="00532D29">
        <w:rPr>
          <w:rFonts w:ascii="Arial" w:hAnsi="Arial" w:cs="Arial"/>
          <w:sz w:val="26"/>
          <w:szCs w:val="26"/>
        </w:rPr>
        <w:t>.</w:t>
      </w:r>
    </w:p>
    <w:p w14:paraId="2145A85A" w14:textId="492A97D9" w:rsidR="7D066A45" w:rsidRPr="00532D29" w:rsidRDefault="00092328" w:rsidP="5FBC1E8D">
      <w:pPr>
        <w:rPr>
          <w:rFonts w:ascii="Arial" w:hAnsi="Arial" w:cs="Arial"/>
        </w:rPr>
      </w:pPr>
      <w:r w:rsidRPr="00532D29">
        <w:rPr>
          <w:rFonts w:ascii="Arial" w:eastAsia="Calibri" w:hAnsi="Arial" w:cs="Arial"/>
          <w:color w:val="565A66"/>
          <w:sz w:val="26"/>
          <w:szCs w:val="26"/>
        </w:rPr>
        <w:t>Dr Mary Russell</w:t>
      </w:r>
      <w:r w:rsidR="7D066A45" w:rsidRPr="00532D29">
        <w:rPr>
          <w:rFonts w:ascii="Arial" w:hAnsi="Arial" w:cs="Arial"/>
        </w:rPr>
        <w:br/>
      </w:r>
      <w:r w:rsidR="7D066A45" w:rsidRPr="00532D29">
        <w:rPr>
          <w:rFonts w:ascii="Arial" w:eastAsia="Calibri" w:hAnsi="Arial" w:cs="Arial"/>
          <w:color w:val="565A66"/>
          <w:sz w:val="26"/>
          <w:szCs w:val="26"/>
        </w:rPr>
        <w:t>Acting Chief Executive Officer</w:t>
      </w:r>
      <w:r w:rsidR="7D066A45" w:rsidRPr="00532D29">
        <w:rPr>
          <w:rFonts w:ascii="Arial" w:hAnsi="Arial" w:cs="Arial"/>
        </w:rPr>
        <w:br/>
      </w:r>
      <w:r w:rsidR="00A870D5" w:rsidRPr="00532D29">
        <w:rPr>
          <w:rFonts w:ascii="Arial" w:eastAsia="Calibri" w:hAnsi="Arial" w:cs="Arial"/>
          <w:color w:val="565A66"/>
          <w:sz w:val="26"/>
          <w:szCs w:val="26"/>
        </w:rPr>
        <w:t>2</w:t>
      </w:r>
      <w:r w:rsidR="00BE53E1">
        <w:rPr>
          <w:rFonts w:ascii="Arial" w:eastAsia="Calibri" w:hAnsi="Arial" w:cs="Arial"/>
          <w:color w:val="565A66"/>
          <w:sz w:val="26"/>
          <w:szCs w:val="26"/>
        </w:rPr>
        <w:t>7</w:t>
      </w:r>
      <w:r w:rsidR="00A870D5" w:rsidRPr="00532D29">
        <w:rPr>
          <w:rFonts w:ascii="Arial" w:eastAsia="Calibri" w:hAnsi="Arial" w:cs="Arial"/>
          <w:color w:val="565A66"/>
          <w:sz w:val="26"/>
          <w:szCs w:val="26"/>
        </w:rPr>
        <w:t xml:space="preserve"> November 2023</w:t>
      </w:r>
    </w:p>
    <w:p w14:paraId="2D9AA018" w14:textId="0FCB6D9E" w:rsidR="7D066A45" w:rsidRPr="00532D29" w:rsidRDefault="7D066A45" w:rsidP="5FBC1E8D">
      <w:pPr>
        <w:pStyle w:val="Heading2"/>
        <w:rPr>
          <w:rFonts w:ascii="Arial" w:hAnsi="Arial" w:cs="Arial"/>
        </w:rPr>
      </w:pPr>
      <w:bookmarkStart w:id="2" w:name="_Toc151125735"/>
      <w:r w:rsidRPr="00532D29">
        <w:rPr>
          <w:rFonts w:ascii="Arial" w:eastAsia="Calibri" w:hAnsi="Arial" w:cs="Arial"/>
          <w:color w:val="004D7D"/>
          <w:sz w:val="42"/>
          <w:szCs w:val="42"/>
        </w:rPr>
        <w:t>1. Purpose</w:t>
      </w:r>
      <w:bookmarkEnd w:id="2"/>
    </w:p>
    <w:p w14:paraId="38305B13" w14:textId="6DF96436" w:rsidR="7D066A45" w:rsidRPr="00532D29" w:rsidRDefault="7D066A45" w:rsidP="00973990">
      <w:pPr>
        <w:pStyle w:val="ListParagraph"/>
        <w:numPr>
          <w:ilvl w:val="0"/>
          <w:numId w:val="21"/>
        </w:numPr>
        <w:rPr>
          <w:rFonts w:ascii="Arial" w:eastAsia="Calibri" w:hAnsi="Arial" w:cs="Arial"/>
          <w:color w:val="565A66"/>
          <w:sz w:val="26"/>
          <w:szCs w:val="26"/>
        </w:rPr>
      </w:pPr>
      <w:r w:rsidRPr="00532D29">
        <w:rPr>
          <w:rFonts w:ascii="Arial" w:eastAsia="Calibri" w:hAnsi="Arial" w:cs="Arial"/>
          <w:color w:val="565A66"/>
          <w:sz w:val="26"/>
          <w:szCs w:val="26"/>
        </w:rPr>
        <w:t>These procedures are made under section 59</w:t>
      </w:r>
      <w:r w:rsidR="003451B3" w:rsidRPr="00532D29">
        <w:rPr>
          <w:rFonts w:ascii="Arial" w:eastAsia="Calibri" w:hAnsi="Arial" w:cs="Arial"/>
          <w:color w:val="565A66"/>
          <w:sz w:val="26"/>
          <w:szCs w:val="26"/>
        </w:rPr>
        <w:t>(3)</w:t>
      </w:r>
      <w:r w:rsidRPr="00532D29">
        <w:rPr>
          <w:rFonts w:ascii="Arial" w:eastAsia="Calibri" w:hAnsi="Arial" w:cs="Arial"/>
          <w:color w:val="565A66"/>
          <w:sz w:val="26"/>
          <w:szCs w:val="26"/>
        </w:rPr>
        <w:t xml:space="preserve"> of the </w:t>
      </w:r>
      <w:r w:rsidRPr="00532D29">
        <w:rPr>
          <w:rFonts w:ascii="Arial" w:eastAsia="Calibri" w:hAnsi="Arial" w:cs="Arial"/>
          <w:i/>
          <w:iCs/>
          <w:color w:val="565A66"/>
          <w:sz w:val="26"/>
          <w:szCs w:val="26"/>
        </w:rPr>
        <w:t xml:space="preserve">Public Interest Disclosure Act 2013 </w:t>
      </w:r>
      <w:r w:rsidRPr="00532D29">
        <w:rPr>
          <w:rFonts w:ascii="Arial" w:eastAsia="Calibri" w:hAnsi="Arial" w:cs="Arial"/>
          <w:color w:val="565A66"/>
          <w:sz w:val="26"/>
          <w:szCs w:val="26"/>
        </w:rPr>
        <w:t xml:space="preserve">(PID Act). The purpose of these procedures is to outline how the PID Act operates </w:t>
      </w:r>
      <w:r w:rsidR="488041DA" w:rsidRPr="00532D29">
        <w:rPr>
          <w:rFonts w:ascii="Arial" w:eastAsia="Calibri" w:hAnsi="Arial" w:cs="Arial"/>
          <w:color w:val="565A66"/>
          <w:sz w:val="26"/>
          <w:szCs w:val="26"/>
        </w:rPr>
        <w:t xml:space="preserve">at </w:t>
      </w:r>
      <w:r w:rsidRPr="00532D29">
        <w:rPr>
          <w:rFonts w:ascii="Arial" w:eastAsia="Calibri" w:hAnsi="Arial" w:cs="Arial"/>
          <w:color w:val="565A66"/>
          <w:sz w:val="26"/>
          <w:szCs w:val="26"/>
        </w:rPr>
        <w:t>TEQSA.</w:t>
      </w:r>
    </w:p>
    <w:p w14:paraId="03663CA8" w14:textId="77777777" w:rsidR="000914E9" w:rsidRPr="00532D29" w:rsidRDefault="000914E9" w:rsidP="00973990">
      <w:pPr>
        <w:pStyle w:val="ListParagraph"/>
        <w:rPr>
          <w:rFonts w:ascii="Arial" w:eastAsia="Calibri" w:hAnsi="Arial" w:cs="Arial"/>
          <w:color w:val="565A66"/>
          <w:sz w:val="26"/>
          <w:szCs w:val="26"/>
        </w:rPr>
      </w:pPr>
    </w:p>
    <w:p w14:paraId="36CCC350" w14:textId="01481716" w:rsidR="55368322" w:rsidRPr="00532D29" w:rsidRDefault="55368322" w:rsidP="00973990">
      <w:pPr>
        <w:pStyle w:val="ListParagraph"/>
        <w:numPr>
          <w:ilvl w:val="0"/>
          <w:numId w:val="21"/>
        </w:numPr>
        <w:rPr>
          <w:rFonts w:ascii="Arial" w:eastAsia="Calibri" w:hAnsi="Arial" w:cs="Arial"/>
          <w:color w:val="565A66"/>
          <w:sz w:val="26"/>
          <w:szCs w:val="26"/>
        </w:rPr>
      </w:pPr>
      <w:r w:rsidRPr="00532D29">
        <w:rPr>
          <w:rFonts w:ascii="Arial" w:eastAsia="Calibri" w:hAnsi="Arial" w:cs="Arial"/>
          <w:color w:val="565A66"/>
          <w:sz w:val="26"/>
          <w:szCs w:val="26"/>
        </w:rPr>
        <w:t>Specifically, the</w:t>
      </w:r>
      <w:r w:rsidR="6850962C" w:rsidRPr="00532D29">
        <w:rPr>
          <w:rFonts w:ascii="Arial" w:eastAsia="Calibri" w:hAnsi="Arial" w:cs="Arial"/>
          <w:color w:val="565A66"/>
          <w:sz w:val="26"/>
          <w:szCs w:val="26"/>
        </w:rPr>
        <w:t>se</w:t>
      </w:r>
      <w:r w:rsidRPr="00532D29">
        <w:rPr>
          <w:rFonts w:ascii="Arial" w:eastAsia="Calibri" w:hAnsi="Arial" w:cs="Arial"/>
          <w:color w:val="565A66"/>
          <w:sz w:val="26"/>
          <w:szCs w:val="26"/>
        </w:rPr>
        <w:t xml:space="preserve"> procedures contain information about:</w:t>
      </w:r>
    </w:p>
    <w:p w14:paraId="5C0CCC0F" w14:textId="7916EF2E" w:rsidR="55368322" w:rsidRPr="00532D29" w:rsidRDefault="55368322" w:rsidP="00973990">
      <w:pPr>
        <w:pStyle w:val="ListParagraph"/>
        <w:numPr>
          <w:ilvl w:val="0"/>
          <w:numId w:val="19"/>
        </w:numPr>
        <w:rPr>
          <w:rFonts w:ascii="Arial" w:eastAsia="Calibri" w:hAnsi="Arial" w:cs="Arial"/>
          <w:color w:val="565A66"/>
          <w:sz w:val="26"/>
          <w:szCs w:val="26"/>
        </w:rPr>
      </w:pPr>
      <w:r w:rsidRPr="00532D29">
        <w:rPr>
          <w:rFonts w:ascii="Arial" w:eastAsia="Calibri" w:hAnsi="Arial" w:cs="Arial"/>
          <w:color w:val="565A66"/>
          <w:sz w:val="26"/>
          <w:szCs w:val="26"/>
        </w:rPr>
        <w:t>how a PID can be made at TEQSA, and</w:t>
      </w:r>
    </w:p>
    <w:p w14:paraId="13EED7CA" w14:textId="00E123A9" w:rsidR="55368322" w:rsidRPr="00532D29" w:rsidRDefault="55368322" w:rsidP="00973990">
      <w:pPr>
        <w:pStyle w:val="ListParagraph"/>
        <w:numPr>
          <w:ilvl w:val="0"/>
          <w:numId w:val="19"/>
        </w:numPr>
        <w:rPr>
          <w:rFonts w:ascii="Arial" w:eastAsia="Calibri" w:hAnsi="Arial" w:cs="Arial"/>
          <w:color w:val="565A66"/>
          <w:sz w:val="26"/>
          <w:szCs w:val="26"/>
        </w:rPr>
      </w:pPr>
      <w:r w:rsidRPr="00532D29">
        <w:rPr>
          <w:rFonts w:ascii="Arial" w:eastAsia="Calibri" w:hAnsi="Arial" w:cs="Arial"/>
          <w:color w:val="565A66"/>
          <w:sz w:val="26"/>
          <w:szCs w:val="26"/>
        </w:rPr>
        <w:t>how TEQSA will manage PIDs it receives.</w:t>
      </w:r>
    </w:p>
    <w:p w14:paraId="422389AD" w14:textId="77777777" w:rsidR="000914E9" w:rsidRPr="00532D29" w:rsidRDefault="000914E9" w:rsidP="00973990">
      <w:pPr>
        <w:pStyle w:val="ListParagraph"/>
        <w:rPr>
          <w:rFonts w:ascii="Arial" w:hAnsi="Arial" w:cs="Arial"/>
        </w:rPr>
      </w:pPr>
    </w:p>
    <w:p w14:paraId="34848140" w14:textId="3A4B15A3" w:rsidR="7D066A45" w:rsidRPr="00532D29" w:rsidRDefault="7D066A45" w:rsidP="00973990">
      <w:pPr>
        <w:pStyle w:val="ListParagraph"/>
        <w:numPr>
          <w:ilvl w:val="0"/>
          <w:numId w:val="21"/>
        </w:numPr>
        <w:rPr>
          <w:rFonts w:ascii="Arial" w:hAnsi="Arial" w:cs="Arial"/>
        </w:rPr>
      </w:pPr>
      <w:r w:rsidRPr="00532D29">
        <w:rPr>
          <w:rFonts w:ascii="Arial" w:eastAsia="Calibri" w:hAnsi="Arial" w:cs="Arial"/>
          <w:color w:val="565A66"/>
          <w:sz w:val="26"/>
          <w:szCs w:val="26"/>
        </w:rPr>
        <w:t>Consistent with the PID Act, TEQSA will:</w:t>
      </w:r>
    </w:p>
    <w:p w14:paraId="0F851B3B" w14:textId="719F56DF" w:rsidR="7D066A45" w:rsidRPr="00532D29" w:rsidRDefault="7D066A45" w:rsidP="5FBC1E8D">
      <w:pPr>
        <w:pStyle w:val="ListParagraph"/>
        <w:numPr>
          <w:ilvl w:val="0"/>
          <w:numId w:val="5"/>
        </w:numPr>
        <w:spacing w:after="0"/>
        <w:rPr>
          <w:rFonts w:ascii="Arial" w:eastAsia="Calibri" w:hAnsi="Arial" w:cs="Arial"/>
          <w:color w:val="565A66"/>
          <w:sz w:val="26"/>
          <w:szCs w:val="26"/>
        </w:rPr>
      </w:pPr>
      <w:r w:rsidRPr="00532D29">
        <w:rPr>
          <w:rFonts w:ascii="Arial" w:eastAsia="Calibri" w:hAnsi="Arial" w:cs="Arial"/>
          <w:color w:val="565A66"/>
          <w:sz w:val="26"/>
          <w:szCs w:val="26"/>
        </w:rPr>
        <w:t>encourage and facilitate the making of disclosures by public officials in the Commonwealth public sector</w:t>
      </w:r>
    </w:p>
    <w:p w14:paraId="7827B714" w14:textId="2A452C10" w:rsidR="7D066A45" w:rsidRPr="00532D29" w:rsidRDefault="7D066A45" w:rsidP="5FBC1E8D">
      <w:pPr>
        <w:pStyle w:val="ListParagraph"/>
        <w:numPr>
          <w:ilvl w:val="0"/>
          <w:numId w:val="5"/>
        </w:numPr>
        <w:spacing w:after="0"/>
        <w:rPr>
          <w:rFonts w:ascii="Arial" w:eastAsia="Calibri" w:hAnsi="Arial" w:cs="Arial"/>
          <w:color w:val="565A66"/>
          <w:sz w:val="26"/>
          <w:szCs w:val="26"/>
        </w:rPr>
      </w:pPr>
      <w:r w:rsidRPr="00532D29">
        <w:rPr>
          <w:rFonts w:ascii="Arial" w:eastAsia="Calibri" w:hAnsi="Arial" w:cs="Arial"/>
          <w:color w:val="565A66"/>
          <w:sz w:val="26"/>
          <w:szCs w:val="26"/>
        </w:rPr>
        <w:t>ensure that public officials who make PIDs are supported and protected from adverse consequences relating to the making of a disclosure</w:t>
      </w:r>
    </w:p>
    <w:p w14:paraId="55261103" w14:textId="19F7A014" w:rsidR="7D066A45" w:rsidRPr="00532D29" w:rsidRDefault="7D066A45" w:rsidP="5FBC1E8D">
      <w:pPr>
        <w:pStyle w:val="ListParagraph"/>
        <w:numPr>
          <w:ilvl w:val="0"/>
          <w:numId w:val="5"/>
        </w:numPr>
        <w:spacing w:after="0"/>
        <w:rPr>
          <w:rFonts w:ascii="Arial" w:eastAsia="Calibri" w:hAnsi="Arial" w:cs="Arial"/>
          <w:color w:val="565A66"/>
          <w:sz w:val="26"/>
          <w:szCs w:val="26"/>
        </w:rPr>
      </w:pPr>
      <w:r w:rsidRPr="00532D29">
        <w:rPr>
          <w:rFonts w:ascii="Arial" w:eastAsia="Calibri" w:hAnsi="Arial" w:cs="Arial"/>
          <w:color w:val="565A66"/>
          <w:sz w:val="26"/>
          <w:szCs w:val="26"/>
        </w:rPr>
        <w:t>ensure that PIDs are properly investigated and dealt with.</w:t>
      </w:r>
    </w:p>
    <w:p w14:paraId="0465CA32" w14:textId="77777777" w:rsidR="000914E9" w:rsidRPr="00532D29" w:rsidRDefault="000914E9" w:rsidP="00973990">
      <w:pPr>
        <w:pStyle w:val="ListParagraph"/>
        <w:rPr>
          <w:rFonts w:ascii="Arial" w:hAnsi="Arial" w:cs="Arial"/>
        </w:rPr>
      </w:pPr>
    </w:p>
    <w:p w14:paraId="6988B397" w14:textId="4C0F89AE" w:rsidR="7D066A45" w:rsidRPr="00532D29" w:rsidRDefault="7D066A45" w:rsidP="00973990">
      <w:pPr>
        <w:pStyle w:val="ListParagraph"/>
        <w:numPr>
          <w:ilvl w:val="0"/>
          <w:numId w:val="21"/>
        </w:numPr>
        <w:rPr>
          <w:rFonts w:ascii="Arial" w:hAnsi="Arial" w:cs="Arial"/>
        </w:rPr>
      </w:pPr>
      <w:r w:rsidRPr="00532D29">
        <w:rPr>
          <w:rFonts w:ascii="Arial" w:eastAsia="Calibri" w:hAnsi="Arial" w:cs="Arial"/>
          <w:color w:val="565A66"/>
          <w:sz w:val="26"/>
          <w:szCs w:val="26"/>
        </w:rPr>
        <w:t>The PID Act and these procedures complement other notification, investigation and complaint handling schemes in the Commonwealth public sector. These include TEQSA's Fraud Control and Anti-Corruption Plan</w:t>
      </w:r>
      <w:r w:rsidR="64334620" w:rsidRPr="00532D29">
        <w:rPr>
          <w:rFonts w:ascii="Arial" w:eastAsia="Calibri" w:hAnsi="Arial" w:cs="Arial"/>
          <w:color w:val="565A66"/>
          <w:sz w:val="26"/>
          <w:szCs w:val="26"/>
        </w:rPr>
        <w:t xml:space="preserve"> (under its Fraud and Anti-Corruption Policy)</w:t>
      </w:r>
      <w:r w:rsidRPr="00532D29">
        <w:rPr>
          <w:rFonts w:ascii="Arial" w:eastAsia="Calibri" w:hAnsi="Arial" w:cs="Arial"/>
          <w:color w:val="565A66"/>
          <w:sz w:val="26"/>
          <w:szCs w:val="26"/>
        </w:rPr>
        <w:t>, TEQSA's procedures for determining breaches of the APS Code of Conduct and arrangements in TEQSA for dealing with HR issues between individual staff members.</w:t>
      </w:r>
    </w:p>
    <w:p w14:paraId="2E5062D8" w14:textId="77777777" w:rsidR="004E6CF9" w:rsidRPr="00532D29" w:rsidRDefault="004E6CF9" w:rsidP="004E6CF9">
      <w:pPr>
        <w:pStyle w:val="Heading3"/>
        <w:rPr>
          <w:rFonts w:ascii="Arial" w:hAnsi="Arial" w:cs="Arial"/>
        </w:rPr>
      </w:pPr>
      <w:bookmarkStart w:id="3" w:name="_Toc151125736"/>
      <w:r w:rsidRPr="00532D29">
        <w:rPr>
          <w:rFonts w:ascii="Arial" w:eastAsia="Calibri" w:hAnsi="Arial" w:cs="Arial"/>
          <w:color w:val="004D7D"/>
          <w:sz w:val="36"/>
          <w:szCs w:val="36"/>
        </w:rPr>
        <w:t>Definitions</w:t>
      </w:r>
      <w:bookmarkEnd w:id="3"/>
    </w:p>
    <w:p w14:paraId="3F75F99D" w14:textId="73FA714F" w:rsidR="00720B7D" w:rsidRPr="00532D29" w:rsidRDefault="00720B7D" w:rsidP="00DD4B25">
      <w:pPr>
        <w:pStyle w:val="ListParagraph"/>
        <w:numPr>
          <w:ilvl w:val="0"/>
          <w:numId w:val="21"/>
        </w:numPr>
        <w:rPr>
          <w:rFonts w:ascii="Arial" w:eastAsia="Calibri" w:hAnsi="Arial" w:cs="Arial"/>
          <w:color w:val="565A66"/>
          <w:sz w:val="26"/>
          <w:szCs w:val="26"/>
        </w:rPr>
      </w:pPr>
      <w:r w:rsidRPr="00532D29">
        <w:rPr>
          <w:rFonts w:ascii="Arial" w:eastAsia="Calibri" w:hAnsi="Arial" w:cs="Arial"/>
          <w:color w:val="565A66"/>
          <w:sz w:val="26"/>
          <w:szCs w:val="26"/>
        </w:rPr>
        <w:t>In these PID Procedures:</w:t>
      </w:r>
    </w:p>
    <w:p w14:paraId="5CECD754" w14:textId="2E34ED07" w:rsidR="004E6CF9" w:rsidRPr="00532D29" w:rsidRDefault="004E6CF9" w:rsidP="00DD4B25">
      <w:pPr>
        <w:ind w:left="720"/>
        <w:rPr>
          <w:rFonts w:ascii="Arial" w:hAnsi="Arial" w:cs="Arial"/>
        </w:rPr>
      </w:pPr>
      <w:r w:rsidRPr="00532D29">
        <w:rPr>
          <w:rFonts w:ascii="Arial" w:eastAsia="Calibri" w:hAnsi="Arial" w:cs="Arial"/>
          <w:color w:val="565A66"/>
          <w:sz w:val="26"/>
          <w:szCs w:val="26"/>
        </w:rPr>
        <w:t>“Authorised Officer” is a person to whom a PID can be made in TEQSA.</w:t>
      </w:r>
    </w:p>
    <w:p w14:paraId="050D89B6" w14:textId="2D530E0F" w:rsidR="004E6CF9" w:rsidRPr="00532D29" w:rsidRDefault="004E6CF9" w:rsidP="00DD4B25">
      <w:pPr>
        <w:ind w:left="720"/>
        <w:rPr>
          <w:rFonts w:ascii="Arial" w:hAnsi="Arial" w:cs="Arial"/>
        </w:rPr>
      </w:pPr>
      <w:r w:rsidRPr="00532D29">
        <w:rPr>
          <w:rFonts w:ascii="Arial" w:eastAsia="Calibri" w:hAnsi="Arial" w:cs="Arial"/>
          <w:color w:val="565A66"/>
          <w:sz w:val="26"/>
          <w:szCs w:val="26"/>
        </w:rPr>
        <w:t>“Disclosable Conduct”</w:t>
      </w:r>
      <w:r w:rsidR="00CA4651" w:rsidRPr="00532D29">
        <w:rPr>
          <w:rFonts w:ascii="Arial" w:eastAsia="Calibri" w:hAnsi="Arial" w:cs="Arial"/>
          <w:color w:val="565A66"/>
          <w:sz w:val="26"/>
          <w:szCs w:val="26"/>
        </w:rPr>
        <w:t xml:space="preserve"> is defined in section 29 of the PID Act. It</w:t>
      </w:r>
      <w:r w:rsidRPr="00532D29">
        <w:rPr>
          <w:rFonts w:ascii="Arial" w:eastAsia="Calibri" w:hAnsi="Arial" w:cs="Arial"/>
          <w:color w:val="565A66"/>
          <w:sz w:val="26"/>
          <w:szCs w:val="26"/>
        </w:rPr>
        <w:t xml:space="preserve"> includes a wide range of wrongful conduct engaged in by an agency or a public official in connection with his or her position as a public official, including but not limited to conduct that:</w:t>
      </w:r>
    </w:p>
    <w:p w14:paraId="7368B693" w14:textId="77777777" w:rsidR="004E6CF9" w:rsidRPr="00532D29" w:rsidRDefault="004E6CF9" w:rsidP="00BE53E1">
      <w:pPr>
        <w:pStyle w:val="ListParagraph"/>
        <w:numPr>
          <w:ilvl w:val="0"/>
          <w:numId w:val="40"/>
        </w:numPr>
        <w:spacing w:after="0"/>
        <w:rPr>
          <w:rFonts w:ascii="Arial" w:eastAsia="Calibri" w:hAnsi="Arial" w:cs="Arial"/>
          <w:color w:val="565A66"/>
          <w:sz w:val="26"/>
          <w:szCs w:val="26"/>
        </w:rPr>
      </w:pPr>
      <w:r w:rsidRPr="00532D29">
        <w:rPr>
          <w:rFonts w:ascii="Arial" w:eastAsia="Calibri" w:hAnsi="Arial" w:cs="Arial"/>
          <w:color w:val="565A66"/>
          <w:sz w:val="26"/>
          <w:szCs w:val="26"/>
        </w:rPr>
        <w:t>is corrupt</w:t>
      </w:r>
    </w:p>
    <w:p w14:paraId="13310CBB" w14:textId="77777777" w:rsidR="004E6CF9" w:rsidRPr="00532D29" w:rsidRDefault="004E6CF9" w:rsidP="00BE53E1">
      <w:pPr>
        <w:pStyle w:val="ListParagraph"/>
        <w:numPr>
          <w:ilvl w:val="0"/>
          <w:numId w:val="40"/>
        </w:numPr>
        <w:spacing w:after="0"/>
        <w:rPr>
          <w:rFonts w:ascii="Arial" w:eastAsia="Calibri" w:hAnsi="Arial" w:cs="Arial"/>
          <w:color w:val="565A66"/>
          <w:sz w:val="26"/>
          <w:szCs w:val="26"/>
        </w:rPr>
      </w:pPr>
      <w:r w:rsidRPr="00532D29">
        <w:rPr>
          <w:rFonts w:ascii="Arial" w:eastAsia="Calibri" w:hAnsi="Arial" w:cs="Arial"/>
          <w:color w:val="565A66"/>
          <w:sz w:val="26"/>
          <w:szCs w:val="26"/>
        </w:rPr>
        <w:t>contravenes a law</w:t>
      </w:r>
    </w:p>
    <w:p w14:paraId="5BC227FD" w14:textId="77777777" w:rsidR="004E6CF9" w:rsidRPr="00532D29" w:rsidRDefault="004E6CF9" w:rsidP="00BE53E1">
      <w:pPr>
        <w:pStyle w:val="ListParagraph"/>
        <w:numPr>
          <w:ilvl w:val="0"/>
          <w:numId w:val="40"/>
        </w:numPr>
        <w:spacing w:after="0"/>
        <w:rPr>
          <w:rFonts w:ascii="Arial" w:eastAsia="Calibri" w:hAnsi="Arial" w:cs="Arial"/>
          <w:color w:val="565A66"/>
          <w:sz w:val="26"/>
          <w:szCs w:val="26"/>
        </w:rPr>
      </w:pPr>
      <w:r w:rsidRPr="00532D29">
        <w:rPr>
          <w:rFonts w:ascii="Arial" w:eastAsia="Calibri" w:hAnsi="Arial" w:cs="Arial"/>
          <w:color w:val="565A66"/>
          <w:sz w:val="26"/>
          <w:szCs w:val="26"/>
        </w:rPr>
        <w:lastRenderedPageBreak/>
        <w:t>perverts the course of justice</w:t>
      </w:r>
    </w:p>
    <w:p w14:paraId="42850EBE" w14:textId="77777777" w:rsidR="004E6CF9" w:rsidRPr="00532D29" w:rsidRDefault="004E6CF9" w:rsidP="00BE53E1">
      <w:pPr>
        <w:pStyle w:val="ListParagraph"/>
        <w:numPr>
          <w:ilvl w:val="0"/>
          <w:numId w:val="40"/>
        </w:numPr>
        <w:spacing w:after="0"/>
        <w:rPr>
          <w:rFonts w:ascii="Arial" w:eastAsia="Calibri" w:hAnsi="Arial" w:cs="Arial"/>
          <w:color w:val="565A66"/>
          <w:sz w:val="26"/>
          <w:szCs w:val="26"/>
        </w:rPr>
      </w:pPr>
      <w:r w:rsidRPr="00532D29">
        <w:rPr>
          <w:rFonts w:ascii="Arial" w:eastAsia="Calibri" w:hAnsi="Arial" w:cs="Arial"/>
          <w:color w:val="565A66"/>
          <w:sz w:val="26"/>
          <w:szCs w:val="26"/>
        </w:rPr>
        <w:t>results in the wastage of public funds or property</w:t>
      </w:r>
    </w:p>
    <w:p w14:paraId="05937634" w14:textId="77777777" w:rsidR="004E6CF9" w:rsidRPr="00532D29" w:rsidRDefault="004E6CF9" w:rsidP="00BE53E1">
      <w:pPr>
        <w:pStyle w:val="ListParagraph"/>
        <w:numPr>
          <w:ilvl w:val="0"/>
          <w:numId w:val="40"/>
        </w:numPr>
        <w:spacing w:after="0"/>
        <w:rPr>
          <w:rFonts w:ascii="Arial" w:eastAsia="Calibri" w:hAnsi="Arial" w:cs="Arial"/>
          <w:color w:val="565A66"/>
          <w:sz w:val="26"/>
          <w:szCs w:val="26"/>
        </w:rPr>
      </w:pPr>
      <w:r w:rsidRPr="00532D29">
        <w:rPr>
          <w:rFonts w:ascii="Arial" w:eastAsia="Calibri" w:hAnsi="Arial" w:cs="Arial"/>
          <w:color w:val="565A66"/>
          <w:sz w:val="26"/>
          <w:szCs w:val="26"/>
        </w:rPr>
        <w:t>is an abuse of public trust</w:t>
      </w:r>
    </w:p>
    <w:p w14:paraId="052A60F1" w14:textId="77777777" w:rsidR="004E6CF9" w:rsidRPr="00532D29" w:rsidRDefault="004E6CF9" w:rsidP="00BE53E1">
      <w:pPr>
        <w:pStyle w:val="ListParagraph"/>
        <w:numPr>
          <w:ilvl w:val="0"/>
          <w:numId w:val="40"/>
        </w:numPr>
        <w:spacing w:after="0"/>
        <w:rPr>
          <w:rFonts w:ascii="Arial" w:eastAsia="Calibri" w:hAnsi="Arial" w:cs="Arial"/>
          <w:color w:val="565A66"/>
          <w:sz w:val="26"/>
          <w:szCs w:val="26"/>
        </w:rPr>
      </w:pPr>
      <w:r w:rsidRPr="00532D29">
        <w:rPr>
          <w:rFonts w:ascii="Arial" w:eastAsia="Calibri" w:hAnsi="Arial" w:cs="Arial"/>
          <w:color w:val="565A66"/>
          <w:sz w:val="26"/>
          <w:szCs w:val="26"/>
        </w:rPr>
        <w:t>unreasonably endangers the health and safety of others</w:t>
      </w:r>
    </w:p>
    <w:p w14:paraId="45D5ABEE" w14:textId="77777777" w:rsidR="004E6CF9" w:rsidRPr="00532D29" w:rsidRDefault="004E6CF9" w:rsidP="00BE53E1">
      <w:pPr>
        <w:pStyle w:val="ListParagraph"/>
        <w:numPr>
          <w:ilvl w:val="0"/>
          <w:numId w:val="40"/>
        </w:numPr>
        <w:spacing w:after="0"/>
        <w:rPr>
          <w:rFonts w:ascii="Arial" w:eastAsia="Calibri" w:hAnsi="Arial" w:cs="Arial"/>
          <w:color w:val="565A66"/>
          <w:sz w:val="26"/>
          <w:szCs w:val="26"/>
        </w:rPr>
      </w:pPr>
      <w:r w:rsidRPr="00532D29">
        <w:rPr>
          <w:rFonts w:ascii="Arial" w:eastAsia="Calibri" w:hAnsi="Arial" w:cs="Arial"/>
          <w:color w:val="565A66"/>
          <w:sz w:val="26"/>
          <w:szCs w:val="26"/>
        </w:rPr>
        <w:t>is maladministration including conduct that is unjust, oppressive or negligent.</w:t>
      </w:r>
    </w:p>
    <w:p w14:paraId="480BEF74" w14:textId="77777777" w:rsidR="00C64BDB" w:rsidRPr="00532D29" w:rsidRDefault="00C64BDB" w:rsidP="00DD4B25">
      <w:pPr>
        <w:ind w:left="720"/>
        <w:rPr>
          <w:rFonts w:ascii="Arial" w:eastAsia="Calibri" w:hAnsi="Arial" w:cs="Arial"/>
          <w:color w:val="565A66"/>
          <w:sz w:val="26"/>
          <w:szCs w:val="26"/>
        </w:rPr>
      </w:pPr>
    </w:p>
    <w:p w14:paraId="5AD395CE" w14:textId="63D045A0" w:rsidR="004E6CF9" w:rsidRPr="00532D29" w:rsidRDefault="004E6CF9" w:rsidP="00DD4B25">
      <w:pPr>
        <w:ind w:left="720"/>
        <w:rPr>
          <w:rFonts w:ascii="Arial" w:eastAsia="Calibri" w:hAnsi="Arial" w:cs="Arial"/>
          <w:color w:val="565A66"/>
          <w:sz w:val="26"/>
          <w:szCs w:val="26"/>
        </w:rPr>
      </w:pPr>
      <w:r w:rsidRPr="00532D29">
        <w:rPr>
          <w:rFonts w:ascii="Arial" w:eastAsia="Calibri" w:hAnsi="Arial" w:cs="Arial"/>
          <w:color w:val="565A66"/>
          <w:sz w:val="26"/>
          <w:szCs w:val="26"/>
        </w:rPr>
        <w:t>“Principal Officer” means TEQSA’s CEO or their delegate.</w:t>
      </w:r>
    </w:p>
    <w:p w14:paraId="0226DAF4" w14:textId="77777777" w:rsidR="004E6CF9" w:rsidRPr="00532D29" w:rsidRDefault="004E6CF9" w:rsidP="00DD4B25">
      <w:pPr>
        <w:ind w:left="720"/>
        <w:rPr>
          <w:rFonts w:ascii="Arial" w:eastAsia="Calibri" w:hAnsi="Arial" w:cs="Arial"/>
          <w:color w:val="565A66"/>
          <w:sz w:val="26"/>
          <w:szCs w:val="26"/>
        </w:rPr>
      </w:pPr>
      <w:r w:rsidRPr="00532D29">
        <w:rPr>
          <w:rFonts w:ascii="Arial" w:eastAsia="Calibri" w:hAnsi="Arial" w:cs="Arial"/>
          <w:color w:val="565A66"/>
          <w:sz w:val="26"/>
          <w:szCs w:val="26"/>
        </w:rPr>
        <w:t>“Public Official” includes current or former APS employees and statutory office holders of TEQSA as well as TEQSA’s contracted service providers and employees and subcontractors of those providers who provide services under a contract with TEQSA.</w:t>
      </w:r>
    </w:p>
    <w:p w14:paraId="761E93B1" w14:textId="77777777" w:rsidR="004E6CF9" w:rsidRPr="00532D29" w:rsidRDefault="004E6CF9" w:rsidP="5FBC1E8D">
      <w:pPr>
        <w:pStyle w:val="Heading2"/>
        <w:rPr>
          <w:rFonts w:ascii="Arial" w:eastAsia="Calibri" w:hAnsi="Arial" w:cs="Arial"/>
          <w:color w:val="004D7D"/>
          <w:sz w:val="42"/>
          <w:szCs w:val="42"/>
        </w:rPr>
      </w:pPr>
    </w:p>
    <w:p w14:paraId="097A8EA1" w14:textId="0DE71BB4" w:rsidR="7D066A45" w:rsidRPr="00532D29" w:rsidRDefault="7D066A45" w:rsidP="5FBC1E8D">
      <w:pPr>
        <w:pStyle w:val="Heading2"/>
        <w:rPr>
          <w:rFonts w:ascii="Arial" w:hAnsi="Arial" w:cs="Arial"/>
        </w:rPr>
      </w:pPr>
      <w:bookmarkStart w:id="4" w:name="_Toc151125737"/>
      <w:r w:rsidRPr="00532D29">
        <w:rPr>
          <w:rFonts w:ascii="Arial" w:eastAsia="Calibri" w:hAnsi="Arial" w:cs="Arial"/>
          <w:color w:val="004D7D"/>
          <w:sz w:val="42"/>
          <w:szCs w:val="42"/>
        </w:rPr>
        <w:t>2. What is a Public Interest Disclosure?</w:t>
      </w:r>
      <w:bookmarkEnd w:id="4"/>
    </w:p>
    <w:p w14:paraId="0D803311" w14:textId="30938DF7" w:rsidR="7D066A45" w:rsidRPr="00532D29" w:rsidRDefault="7D066A45" w:rsidP="00973990">
      <w:pPr>
        <w:pStyle w:val="ListParagraph"/>
        <w:numPr>
          <w:ilvl w:val="0"/>
          <w:numId w:val="21"/>
        </w:numPr>
        <w:rPr>
          <w:rFonts w:ascii="Arial" w:hAnsi="Arial" w:cs="Arial"/>
        </w:rPr>
      </w:pPr>
      <w:r w:rsidRPr="00532D29">
        <w:rPr>
          <w:rFonts w:ascii="Arial" w:eastAsia="Calibri" w:hAnsi="Arial" w:cs="Arial"/>
          <w:color w:val="565A66"/>
          <w:sz w:val="26"/>
          <w:szCs w:val="26"/>
        </w:rPr>
        <w:t>A disclosure of information is a "public interest disclosure" for the purposes of the PID Act (a PID) if it meets the following requirements:</w:t>
      </w:r>
    </w:p>
    <w:p w14:paraId="15265A7C" w14:textId="7088C327" w:rsidR="7D066A45" w:rsidRPr="00532D29" w:rsidRDefault="7D066A45" w:rsidP="00520BF3">
      <w:pPr>
        <w:pStyle w:val="ListParagraph"/>
        <w:numPr>
          <w:ilvl w:val="0"/>
          <w:numId w:val="7"/>
        </w:numPr>
        <w:spacing w:after="0"/>
        <w:rPr>
          <w:rFonts w:ascii="Arial" w:eastAsia="Calibri" w:hAnsi="Arial" w:cs="Arial"/>
          <w:color w:val="565A66"/>
          <w:sz w:val="26"/>
          <w:szCs w:val="26"/>
        </w:rPr>
      </w:pPr>
      <w:r w:rsidRPr="00532D29">
        <w:rPr>
          <w:rFonts w:ascii="Arial" w:eastAsia="Calibri" w:hAnsi="Arial" w:cs="Arial"/>
          <w:color w:val="565A66"/>
          <w:sz w:val="26"/>
          <w:szCs w:val="26"/>
        </w:rPr>
        <w:t>it is made by a public official or a person who has been a public official</w:t>
      </w:r>
    </w:p>
    <w:p w14:paraId="2D27DE9A" w14:textId="13BCFB3F" w:rsidR="7D066A45" w:rsidRPr="00532D29" w:rsidRDefault="7D066A45" w:rsidP="00520BF3">
      <w:pPr>
        <w:pStyle w:val="ListParagraph"/>
        <w:numPr>
          <w:ilvl w:val="0"/>
          <w:numId w:val="7"/>
        </w:numPr>
        <w:spacing w:after="0"/>
        <w:rPr>
          <w:rFonts w:ascii="Arial" w:eastAsia="Calibri" w:hAnsi="Arial" w:cs="Arial"/>
          <w:color w:val="565A66"/>
          <w:sz w:val="26"/>
          <w:szCs w:val="26"/>
        </w:rPr>
      </w:pPr>
      <w:r w:rsidRPr="00532D29">
        <w:rPr>
          <w:rFonts w:ascii="Arial" w:eastAsia="Calibri" w:hAnsi="Arial" w:cs="Arial"/>
          <w:color w:val="565A66"/>
          <w:sz w:val="26"/>
          <w:szCs w:val="26"/>
        </w:rPr>
        <w:t>the information tends to show, or the discloser believes on reasonable grounds that the information tends to show, one or more instances of disclosable conduct as defined by the PID Act</w:t>
      </w:r>
    </w:p>
    <w:p w14:paraId="37397D97" w14:textId="54907B47" w:rsidR="7D066A45" w:rsidRPr="00532D29" w:rsidRDefault="7D066A45" w:rsidP="00520BF3">
      <w:pPr>
        <w:pStyle w:val="ListParagraph"/>
        <w:numPr>
          <w:ilvl w:val="0"/>
          <w:numId w:val="7"/>
        </w:numPr>
        <w:spacing w:after="0"/>
        <w:rPr>
          <w:rFonts w:ascii="Arial" w:eastAsia="Calibri" w:hAnsi="Arial" w:cs="Arial"/>
          <w:color w:val="565A66"/>
          <w:sz w:val="26"/>
          <w:szCs w:val="26"/>
        </w:rPr>
      </w:pPr>
      <w:r w:rsidRPr="00532D29">
        <w:rPr>
          <w:rFonts w:ascii="Arial" w:eastAsia="Calibri" w:hAnsi="Arial" w:cs="Arial"/>
          <w:color w:val="565A66"/>
          <w:sz w:val="26"/>
          <w:szCs w:val="26"/>
        </w:rPr>
        <w:t>the disclosure is made to an appropriate person.</w:t>
      </w:r>
    </w:p>
    <w:p w14:paraId="12BFC589" w14:textId="77777777" w:rsidR="002F2988" w:rsidRPr="00532D29" w:rsidRDefault="002F2988" w:rsidP="00973990">
      <w:pPr>
        <w:pStyle w:val="ListParagraph"/>
        <w:rPr>
          <w:rFonts w:ascii="Arial" w:hAnsi="Arial" w:cs="Arial"/>
        </w:rPr>
      </w:pPr>
    </w:p>
    <w:p w14:paraId="75C5E8C7" w14:textId="2BC05107" w:rsidR="7D066A45" w:rsidRPr="00532D29" w:rsidRDefault="7D066A45" w:rsidP="002F2988">
      <w:pPr>
        <w:pStyle w:val="ListParagraph"/>
        <w:numPr>
          <w:ilvl w:val="0"/>
          <w:numId w:val="21"/>
        </w:numPr>
        <w:rPr>
          <w:rFonts w:ascii="Arial" w:hAnsi="Arial" w:cs="Arial"/>
        </w:rPr>
      </w:pPr>
      <w:r w:rsidRPr="00532D29">
        <w:rPr>
          <w:rFonts w:ascii="Arial" w:eastAsia="Calibri" w:hAnsi="Arial" w:cs="Arial"/>
          <w:color w:val="565A66"/>
          <w:sz w:val="26"/>
          <w:szCs w:val="26"/>
        </w:rPr>
        <w:t xml:space="preserve">If each of the above requirements </w:t>
      </w:r>
      <w:r w:rsidR="00805BF2" w:rsidRPr="00532D29">
        <w:rPr>
          <w:rFonts w:ascii="Arial" w:eastAsia="Calibri" w:hAnsi="Arial" w:cs="Arial"/>
          <w:color w:val="565A66"/>
          <w:sz w:val="26"/>
          <w:szCs w:val="26"/>
        </w:rPr>
        <w:t>is</w:t>
      </w:r>
      <w:r w:rsidRPr="00532D29">
        <w:rPr>
          <w:rFonts w:ascii="Arial" w:eastAsia="Calibri" w:hAnsi="Arial" w:cs="Arial"/>
          <w:color w:val="565A66"/>
          <w:sz w:val="26"/>
          <w:szCs w:val="26"/>
        </w:rPr>
        <w:t xml:space="preserve"> </w:t>
      </w:r>
      <w:r w:rsidR="00805BF2" w:rsidRPr="00532D29">
        <w:rPr>
          <w:rFonts w:ascii="Arial" w:eastAsia="Calibri" w:hAnsi="Arial" w:cs="Arial"/>
          <w:color w:val="565A66"/>
          <w:sz w:val="26"/>
          <w:szCs w:val="26"/>
        </w:rPr>
        <w:t>met,</w:t>
      </w:r>
      <w:r w:rsidRPr="00532D29">
        <w:rPr>
          <w:rFonts w:ascii="Arial" w:eastAsia="Calibri" w:hAnsi="Arial" w:cs="Arial"/>
          <w:color w:val="565A66"/>
          <w:sz w:val="26"/>
          <w:szCs w:val="26"/>
        </w:rPr>
        <w:t xml:space="preserve"> </w:t>
      </w:r>
      <w:r w:rsidR="00805BF2" w:rsidRPr="00532D29">
        <w:rPr>
          <w:rFonts w:ascii="Arial" w:eastAsia="Calibri" w:hAnsi="Arial" w:cs="Arial"/>
          <w:color w:val="565A66"/>
          <w:sz w:val="26"/>
          <w:szCs w:val="26"/>
        </w:rPr>
        <w:t xml:space="preserve">then </w:t>
      </w:r>
      <w:r w:rsidRPr="00532D29">
        <w:rPr>
          <w:rFonts w:ascii="Arial" w:eastAsia="Calibri" w:hAnsi="Arial" w:cs="Arial"/>
          <w:color w:val="565A66"/>
          <w:sz w:val="26"/>
          <w:szCs w:val="26"/>
        </w:rPr>
        <w:t>the disclosure will be covered by the PID Act and the discloser will have the benefit of the protections the PID Act confers.</w:t>
      </w:r>
    </w:p>
    <w:p w14:paraId="783E2782" w14:textId="77777777" w:rsidR="005C2268" w:rsidRPr="00532D29" w:rsidRDefault="005C2268" w:rsidP="005C2268">
      <w:pPr>
        <w:pStyle w:val="ListParagraph"/>
        <w:rPr>
          <w:rFonts w:ascii="Arial" w:hAnsi="Arial" w:cs="Arial"/>
        </w:rPr>
      </w:pPr>
    </w:p>
    <w:p w14:paraId="17D69432" w14:textId="7D629508" w:rsidR="00A268DD" w:rsidRPr="00532D29" w:rsidRDefault="00A268DD" w:rsidP="00973990">
      <w:pPr>
        <w:pStyle w:val="ListParagraph"/>
        <w:numPr>
          <w:ilvl w:val="0"/>
          <w:numId w:val="21"/>
        </w:numPr>
        <w:rPr>
          <w:rFonts w:ascii="Arial" w:hAnsi="Arial" w:cs="Arial"/>
        </w:rPr>
      </w:pPr>
      <w:r w:rsidRPr="00532D29">
        <w:rPr>
          <w:rFonts w:ascii="Arial" w:eastAsia="Calibri" w:hAnsi="Arial" w:cs="Arial"/>
          <w:color w:val="565A66"/>
          <w:sz w:val="26"/>
          <w:szCs w:val="26"/>
        </w:rPr>
        <w:t xml:space="preserve">“Personal work-related conduct” is not disclosable conduct unless: (a) the conduct would constitute taking a reprisal against another person, or an offence under the PID Act the prohibits reprisals (see </w:t>
      </w:r>
      <w:r w:rsidR="005C0281" w:rsidRPr="00532D29">
        <w:rPr>
          <w:rFonts w:ascii="Arial" w:eastAsia="Calibri" w:hAnsi="Arial" w:cs="Arial"/>
          <w:color w:val="565A66"/>
          <w:sz w:val="26"/>
          <w:szCs w:val="26"/>
        </w:rPr>
        <w:t xml:space="preserve">what is below </w:t>
      </w:r>
      <w:r w:rsidR="006707C5" w:rsidRPr="00532D29">
        <w:rPr>
          <w:rFonts w:ascii="Arial" w:eastAsia="Calibri" w:hAnsi="Arial" w:cs="Arial"/>
          <w:color w:val="565A66"/>
          <w:sz w:val="26"/>
          <w:szCs w:val="26"/>
        </w:rPr>
        <w:t>commencing at</w:t>
      </w:r>
      <w:r w:rsidR="005C0281" w:rsidRPr="00532D29">
        <w:rPr>
          <w:rFonts w:ascii="Arial" w:eastAsia="Calibri" w:hAnsi="Arial" w:cs="Arial"/>
          <w:color w:val="565A66"/>
          <w:sz w:val="26"/>
          <w:szCs w:val="26"/>
        </w:rPr>
        <w:t xml:space="preserve"> </w:t>
      </w:r>
      <w:r w:rsidRPr="00532D29">
        <w:rPr>
          <w:rFonts w:ascii="Arial" w:eastAsia="Calibri" w:hAnsi="Arial" w:cs="Arial"/>
          <w:color w:val="565A66"/>
          <w:sz w:val="26"/>
          <w:szCs w:val="26"/>
        </w:rPr>
        <w:t xml:space="preserve">paragraph </w:t>
      </w:r>
      <w:r w:rsidR="005707A1" w:rsidRPr="00532D29">
        <w:rPr>
          <w:rFonts w:ascii="Arial" w:eastAsia="Calibri" w:hAnsi="Arial" w:cs="Arial"/>
          <w:color w:val="565A66"/>
          <w:sz w:val="26"/>
          <w:szCs w:val="26"/>
        </w:rPr>
        <w:t>42</w:t>
      </w:r>
      <w:r w:rsidRPr="00532D29">
        <w:rPr>
          <w:rFonts w:ascii="Arial" w:eastAsia="Calibri" w:hAnsi="Arial" w:cs="Arial"/>
          <w:color w:val="565A66"/>
          <w:sz w:val="26"/>
          <w:szCs w:val="26"/>
        </w:rPr>
        <w:t xml:space="preserve"> below for what constitutes taking reprisal action), or (b) the conduct is either of such a significant nature that it would undermine public confidence in TEQSA (or another agency or agencies) or has other significant implications for TEQSA (or another agency or agencies).</w:t>
      </w:r>
    </w:p>
    <w:p w14:paraId="1A9CFBF8" w14:textId="77777777" w:rsidR="005C0281" w:rsidRPr="00532D29" w:rsidRDefault="005C0281" w:rsidP="005C0281">
      <w:pPr>
        <w:pStyle w:val="ListParagraph"/>
        <w:rPr>
          <w:rFonts w:ascii="Arial" w:hAnsi="Arial" w:cs="Arial"/>
        </w:rPr>
      </w:pPr>
    </w:p>
    <w:p w14:paraId="05AEDC3A" w14:textId="42B0FB14" w:rsidR="00720B7D" w:rsidRPr="00532D29" w:rsidRDefault="00720B7D" w:rsidP="00720B7D">
      <w:pPr>
        <w:pStyle w:val="ListParagraph"/>
        <w:numPr>
          <w:ilvl w:val="0"/>
          <w:numId w:val="21"/>
        </w:numPr>
        <w:rPr>
          <w:rFonts w:ascii="Arial" w:hAnsi="Arial" w:cs="Arial"/>
        </w:rPr>
      </w:pPr>
      <w:r w:rsidRPr="00532D29">
        <w:rPr>
          <w:rFonts w:ascii="Arial" w:eastAsia="Calibri" w:hAnsi="Arial" w:cs="Arial"/>
          <w:color w:val="565A66"/>
          <w:sz w:val="26"/>
          <w:szCs w:val="26"/>
        </w:rPr>
        <w:t xml:space="preserve">A person wishing to make a disclosure and who was not a public official at the time they obtained the information may be deemed to be a public </w:t>
      </w:r>
      <w:r w:rsidRPr="00532D29">
        <w:rPr>
          <w:rFonts w:ascii="Arial" w:eastAsia="Calibri" w:hAnsi="Arial" w:cs="Arial"/>
          <w:color w:val="565A66"/>
          <w:sz w:val="26"/>
          <w:szCs w:val="26"/>
        </w:rPr>
        <w:lastRenderedPageBreak/>
        <w:t>official. The Authorised Officer does this (either own their own initiative or pursuant to an intending discloser’s request) by issuing a written notice to the person stating that the PID Act has effect, and is taken to have always had effect, in relation to the disclosure of the information as if they had been a public official at the time they obtained the information.</w:t>
      </w:r>
    </w:p>
    <w:p w14:paraId="675C1FD1" w14:textId="77777777" w:rsidR="00720B7D" w:rsidRPr="00532D29" w:rsidRDefault="00720B7D" w:rsidP="00720B7D">
      <w:pPr>
        <w:pStyle w:val="ListParagraph"/>
        <w:rPr>
          <w:rFonts w:ascii="Arial" w:hAnsi="Arial" w:cs="Arial"/>
        </w:rPr>
      </w:pPr>
    </w:p>
    <w:p w14:paraId="478B196E" w14:textId="0A7425EA" w:rsidR="00E567C9" w:rsidRPr="00532D29" w:rsidRDefault="00FA301B" w:rsidP="5FBC1E8D">
      <w:pPr>
        <w:pStyle w:val="Heading2"/>
        <w:rPr>
          <w:rFonts w:ascii="Arial" w:eastAsia="Calibri" w:hAnsi="Arial" w:cs="Arial"/>
          <w:color w:val="004D7D"/>
          <w:sz w:val="42"/>
          <w:szCs w:val="42"/>
        </w:rPr>
      </w:pPr>
      <w:bookmarkStart w:id="5" w:name="_Toc151125738"/>
      <w:r w:rsidRPr="00532D29">
        <w:rPr>
          <w:rFonts w:ascii="Arial" w:eastAsia="Calibri" w:hAnsi="Arial" w:cs="Arial"/>
          <w:color w:val="004D7D"/>
          <w:sz w:val="42"/>
          <w:szCs w:val="42"/>
        </w:rPr>
        <w:t xml:space="preserve">3. </w:t>
      </w:r>
      <w:r w:rsidR="00E567C9" w:rsidRPr="00532D29">
        <w:rPr>
          <w:rFonts w:ascii="Arial" w:eastAsia="Calibri" w:hAnsi="Arial" w:cs="Arial"/>
          <w:color w:val="004D7D"/>
          <w:sz w:val="42"/>
          <w:szCs w:val="42"/>
        </w:rPr>
        <w:t>Interaction with the N</w:t>
      </w:r>
      <w:r w:rsidRPr="00532D29">
        <w:rPr>
          <w:rFonts w:ascii="Arial" w:eastAsia="Calibri" w:hAnsi="Arial" w:cs="Arial"/>
          <w:color w:val="004D7D"/>
          <w:sz w:val="42"/>
          <w:szCs w:val="42"/>
        </w:rPr>
        <w:t>ational Anti-Corruption Commission</w:t>
      </w:r>
      <w:bookmarkEnd w:id="5"/>
    </w:p>
    <w:p w14:paraId="72E623CB" w14:textId="2D519588" w:rsidR="00391FC1" w:rsidRPr="00532D29" w:rsidRDefault="00391FC1" w:rsidP="005707A1">
      <w:pPr>
        <w:pStyle w:val="ListParagraph"/>
        <w:numPr>
          <w:ilvl w:val="0"/>
          <w:numId w:val="21"/>
        </w:numPr>
        <w:rPr>
          <w:rFonts w:ascii="Arial" w:hAnsi="Arial" w:cs="Arial"/>
          <w:sz w:val="26"/>
          <w:szCs w:val="26"/>
        </w:rPr>
      </w:pPr>
      <w:r w:rsidRPr="00532D29">
        <w:rPr>
          <w:rFonts w:ascii="Arial" w:hAnsi="Arial" w:cs="Arial"/>
          <w:sz w:val="26"/>
          <w:szCs w:val="26"/>
        </w:rPr>
        <w:t xml:space="preserve">The </w:t>
      </w:r>
      <w:r w:rsidRPr="00532D29">
        <w:rPr>
          <w:rFonts w:ascii="Arial" w:hAnsi="Arial" w:cs="Arial"/>
          <w:i/>
          <w:iCs/>
          <w:sz w:val="26"/>
          <w:szCs w:val="26"/>
        </w:rPr>
        <w:t>National Anti-Corruption Commission Act 2022</w:t>
      </w:r>
      <w:r w:rsidRPr="00532D29">
        <w:rPr>
          <w:rFonts w:ascii="Arial" w:hAnsi="Arial" w:cs="Arial"/>
          <w:sz w:val="26"/>
          <w:szCs w:val="26"/>
        </w:rPr>
        <w:t xml:space="preserve"> (NACC Act) establishes the National Anti-Corruption Commission (the NACC). Further information is available on the NACC</w:t>
      </w:r>
      <w:r w:rsidR="00D954C5" w:rsidRPr="00532D29">
        <w:rPr>
          <w:rFonts w:ascii="Arial" w:hAnsi="Arial" w:cs="Arial"/>
          <w:sz w:val="26"/>
          <w:szCs w:val="26"/>
        </w:rPr>
        <w:t>’</w:t>
      </w:r>
      <w:r w:rsidRPr="00532D29">
        <w:rPr>
          <w:rFonts w:ascii="Arial" w:hAnsi="Arial" w:cs="Arial"/>
          <w:sz w:val="26"/>
          <w:szCs w:val="26"/>
        </w:rPr>
        <w:t>s website.</w:t>
      </w:r>
    </w:p>
    <w:p w14:paraId="54DFC222" w14:textId="77777777" w:rsidR="00391FC1" w:rsidRPr="00532D29" w:rsidRDefault="00391FC1" w:rsidP="00973990">
      <w:pPr>
        <w:pStyle w:val="ListParagraph"/>
        <w:rPr>
          <w:rFonts w:ascii="Arial" w:hAnsi="Arial" w:cs="Arial"/>
          <w:sz w:val="26"/>
          <w:szCs w:val="26"/>
        </w:rPr>
      </w:pPr>
    </w:p>
    <w:p w14:paraId="152F274F" w14:textId="15056873" w:rsidR="00024591" w:rsidRPr="00532D29" w:rsidRDefault="00391FC1" w:rsidP="005707A1">
      <w:pPr>
        <w:pStyle w:val="ListParagraph"/>
        <w:numPr>
          <w:ilvl w:val="0"/>
          <w:numId w:val="21"/>
        </w:numPr>
        <w:rPr>
          <w:rFonts w:ascii="Arial" w:hAnsi="Arial" w:cs="Arial"/>
          <w:sz w:val="26"/>
          <w:szCs w:val="26"/>
        </w:rPr>
      </w:pPr>
      <w:r w:rsidRPr="00532D29">
        <w:rPr>
          <w:rFonts w:ascii="Arial" w:hAnsi="Arial" w:cs="Arial"/>
          <w:sz w:val="26"/>
          <w:szCs w:val="26"/>
        </w:rPr>
        <w:t xml:space="preserve">At all stages of dealing with and handling a disclosure, </w:t>
      </w:r>
      <w:r w:rsidR="00632F4D" w:rsidRPr="00532D29">
        <w:rPr>
          <w:rFonts w:ascii="Arial" w:hAnsi="Arial" w:cs="Arial"/>
          <w:sz w:val="26"/>
          <w:szCs w:val="26"/>
        </w:rPr>
        <w:t xml:space="preserve">TEQSA </w:t>
      </w:r>
      <w:r w:rsidRPr="00532D29">
        <w:rPr>
          <w:rFonts w:ascii="Arial" w:hAnsi="Arial" w:cs="Arial"/>
          <w:sz w:val="26"/>
          <w:szCs w:val="26"/>
        </w:rPr>
        <w:t>staff members who are exercising powers or functions under Division 1 or 2 of Part 3 of the PID Act</w:t>
      </w:r>
      <w:r w:rsidR="00D75C63" w:rsidRPr="00532D29">
        <w:rPr>
          <w:rFonts w:ascii="Arial" w:hAnsi="Arial" w:cs="Arial"/>
          <w:sz w:val="26"/>
          <w:szCs w:val="26"/>
        </w:rPr>
        <w:t xml:space="preserve"> concerning the allocation and investigation of PIDs</w:t>
      </w:r>
      <w:r w:rsidRPr="00532D29">
        <w:rPr>
          <w:rFonts w:ascii="Arial" w:hAnsi="Arial" w:cs="Arial"/>
          <w:sz w:val="26"/>
          <w:szCs w:val="26"/>
        </w:rPr>
        <w:t xml:space="preserve"> (including the Principal Officer, Authorised Officers and their delegates) must be aware of and consider their mandatory obligation under s35 of the NACC Act. </w:t>
      </w:r>
    </w:p>
    <w:p w14:paraId="2DE23B0E" w14:textId="77777777" w:rsidR="00D954C5" w:rsidRPr="00532D29" w:rsidRDefault="00D954C5" w:rsidP="00D954C5">
      <w:pPr>
        <w:pStyle w:val="ListParagraph"/>
        <w:rPr>
          <w:rFonts w:ascii="Arial" w:hAnsi="Arial" w:cs="Arial"/>
          <w:sz w:val="26"/>
          <w:szCs w:val="26"/>
        </w:rPr>
      </w:pPr>
    </w:p>
    <w:p w14:paraId="737BE0F0" w14:textId="77777777" w:rsidR="00024591" w:rsidRPr="00532D29" w:rsidRDefault="00024591" w:rsidP="005707A1">
      <w:pPr>
        <w:pStyle w:val="ListParagraph"/>
        <w:numPr>
          <w:ilvl w:val="0"/>
          <w:numId w:val="21"/>
        </w:numPr>
        <w:rPr>
          <w:rFonts w:ascii="Arial" w:hAnsi="Arial" w:cs="Arial"/>
          <w:sz w:val="26"/>
          <w:szCs w:val="26"/>
        </w:rPr>
      </w:pPr>
      <w:r w:rsidRPr="00532D29">
        <w:rPr>
          <w:rFonts w:ascii="Arial" w:hAnsi="Arial" w:cs="Arial"/>
          <w:sz w:val="26"/>
          <w:szCs w:val="26"/>
        </w:rPr>
        <w:t xml:space="preserve">Section </w:t>
      </w:r>
      <w:r w:rsidR="00391FC1" w:rsidRPr="00532D29">
        <w:rPr>
          <w:rFonts w:ascii="Arial" w:hAnsi="Arial" w:cs="Arial"/>
          <w:sz w:val="26"/>
          <w:szCs w:val="26"/>
        </w:rPr>
        <w:t xml:space="preserve">35 of the NACC Act provides that PID officers must refer a corruption issue to the NACC as soon as reasonably practicable upon becoming aware of a corruption issue that: </w:t>
      </w:r>
    </w:p>
    <w:p w14:paraId="5B0047D9" w14:textId="77777777" w:rsidR="00D954C5" w:rsidRPr="00532D29" w:rsidRDefault="00D954C5" w:rsidP="00973990">
      <w:pPr>
        <w:pStyle w:val="ListParagraph"/>
        <w:rPr>
          <w:rFonts w:ascii="Arial" w:eastAsia="Calibri" w:hAnsi="Arial" w:cs="Arial"/>
          <w:color w:val="565A66"/>
          <w:sz w:val="26"/>
          <w:szCs w:val="26"/>
        </w:rPr>
      </w:pPr>
    </w:p>
    <w:p w14:paraId="4348E651" w14:textId="41A207F2" w:rsidR="00024591" w:rsidRPr="00532D29" w:rsidRDefault="00391FC1" w:rsidP="00973990">
      <w:pPr>
        <w:pStyle w:val="ListParagraph"/>
        <w:numPr>
          <w:ilvl w:val="0"/>
          <w:numId w:val="9"/>
        </w:numPr>
        <w:spacing w:after="0"/>
        <w:rPr>
          <w:rFonts w:ascii="Arial" w:eastAsia="Calibri" w:hAnsi="Arial" w:cs="Arial"/>
          <w:color w:val="565A66"/>
          <w:sz w:val="26"/>
          <w:szCs w:val="26"/>
        </w:rPr>
      </w:pPr>
      <w:r w:rsidRPr="00532D29">
        <w:rPr>
          <w:rFonts w:ascii="Arial" w:eastAsia="Calibri" w:hAnsi="Arial" w:cs="Arial"/>
          <w:color w:val="565A66"/>
          <w:sz w:val="26"/>
          <w:szCs w:val="26"/>
        </w:rPr>
        <w:t xml:space="preserve">concerns the conduct of a person who is or was a staff member of </w:t>
      </w:r>
      <w:r w:rsidR="001B07EC" w:rsidRPr="00532D29">
        <w:rPr>
          <w:rFonts w:ascii="Arial" w:eastAsia="Calibri" w:hAnsi="Arial" w:cs="Arial"/>
          <w:color w:val="565A66"/>
          <w:sz w:val="26"/>
          <w:szCs w:val="26"/>
        </w:rPr>
        <w:t>TEQSA</w:t>
      </w:r>
      <w:r w:rsidRPr="00532D29">
        <w:rPr>
          <w:rFonts w:ascii="Arial" w:eastAsia="Calibri" w:hAnsi="Arial" w:cs="Arial"/>
          <w:color w:val="565A66"/>
          <w:sz w:val="26"/>
          <w:szCs w:val="26"/>
        </w:rPr>
        <w:t xml:space="preserve"> while that person is, or was, a staff member; and </w:t>
      </w:r>
    </w:p>
    <w:p w14:paraId="6691CE1F" w14:textId="77777777" w:rsidR="00024591" w:rsidRPr="00532D29" w:rsidRDefault="00391FC1" w:rsidP="00973990">
      <w:pPr>
        <w:pStyle w:val="ListParagraph"/>
        <w:numPr>
          <w:ilvl w:val="0"/>
          <w:numId w:val="9"/>
        </w:numPr>
        <w:spacing w:after="0"/>
        <w:rPr>
          <w:rFonts w:ascii="Arial" w:eastAsia="Calibri" w:hAnsi="Arial" w:cs="Arial"/>
          <w:color w:val="565A66"/>
          <w:sz w:val="26"/>
          <w:szCs w:val="26"/>
        </w:rPr>
      </w:pPr>
      <w:r w:rsidRPr="00532D29">
        <w:rPr>
          <w:rFonts w:ascii="Arial" w:eastAsia="Calibri" w:hAnsi="Arial" w:cs="Arial"/>
          <w:color w:val="565A66"/>
          <w:sz w:val="26"/>
          <w:szCs w:val="26"/>
        </w:rPr>
        <w:t xml:space="preserve">the PID officer suspects could involve corrupt conduct that is serious or systemic. </w:t>
      </w:r>
    </w:p>
    <w:p w14:paraId="7CF08791" w14:textId="77777777" w:rsidR="00024591" w:rsidRPr="00532D29" w:rsidRDefault="00024591" w:rsidP="00973990">
      <w:pPr>
        <w:pStyle w:val="ListParagraph"/>
        <w:rPr>
          <w:rFonts w:ascii="Arial" w:hAnsi="Arial" w:cs="Arial"/>
          <w:sz w:val="26"/>
          <w:szCs w:val="26"/>
        </w:rPr>
      </w:pPr>
    </w:p>
    <w:p w14:paraId="7B50F6B9" w14:textId="77777777" w:rsidR="00024591" w:rsidRPr="00532D29" w:rsidRDefault="00391FC1" w:rsidP="005707A1">
      <w:pPr>
        <w:pStyle w:val="ListParagraph"/>
        <w:numPr>
          <w:ilvl w:val="0"/>
          <w:numId w:val="21"/>
        </w:numPr>
        <w:rPr>
          <w:rFonts w:ascii="Arial" w:hAnsi="Arial" w:cs="Arial"/>
          <w:sz w:val="26"/>
          <w:szCs w:val="26"/>
        </w:rPr>
      </w:pPr>
      <w:r w:rsidRPr="00532D29">
        <w:rPr>
          <w:rFonts w:ascii="Arial" w:hAnsi="Arial" w:cs="Arial"/>
          <w:sz w:val="26"/>
          <w:szCs w:val="26"/>
        </w:rPr>
        <w:t xml:space="preserve">A PID officer is not required to refer a corruption issue if they believe on reasonable grounds that the NACC is already aware of the issue. </w:t>
      </w:r>
    </w:p>
    <w:p w14:paraId="2C8C70C5" w14:textId="77777777" w:rsidR="00024591" w:rsidRPr="00532D29" w:rsidRDefault="00024591" w:rsidP="00973990">
      <w:pPr>
        <w:pStyle w:val="ListParagraph"/>
        <w:rPr>
          <w:rFonts w:ascii="Arial" w:hAnsi="Arial" w:cs="Arial"/>
          <w:sz w:val="26"/>
          <w:szCs w:val="26"/>
        </w:rPr>
      </w:pPr>
    </w:p>
    <w:p w14:paraId="0D5D4DAC" w14:textId="5EC6D6DF" w:rsidR="00024591" w:rsidRPr="00532D29" w:rsidRDefault="00391FC1" w:rsidP="005707A1">
      <w:pPr>
        <w:pStyle w:val="ListParagraph"/>
        <w:numPr>
          <w:ilvl w:val="0"/>
          <w:numId w:val="21"/>
        </w:numPr>
        <w:rPr>
          <w:rFonts w:ascii="Arial" w:hAnsi="Arial" w:cs="Arial"/>
          <w:sz w:val="26"/>
          <w:szCs w:val="26"/>
        </w:rPr>
      </w:pPr>
      <w:r w:rsidRPr="00532D29">
        <w:rPr>
          <w:rFonts w:ascii="Arial" w:hAnsi="Arial" w:cs="Arial"/>
          <w:sz w:val="26"/>
          <w:szCs w:val="26"/>
        </w:rPr>
        <w:t xml:space="preserve">If a PID officer becomes aware of such a corruption issue as a result of an internal disclosure they must, as soon as reasonably practicable, notify the discloser of the referral of the issue to the NACC under s35 of the NACC Act. </w:t>
      </w:r>
    </w:p>
    <w:p w14:paraId="4F797954" w14:textId="77777777" w:rsidR="00024591" w:rsidRPr="00532D29" w:rsidRDefault="00024591" w:rsidP="00973990">
      <w:pPr>
        <w:pStyle w:val="ListParagraph"/>
        <w:rPr>
          <w:rFonts w:ascii="Arial" w:hAnsi="Arial" w:cs="Arial"/>
          <w:sz w:val="26"/>
          <w:szCs w:val="26"/>
        </w:rPr>
      </w:pPr>
    </w:p>
    <w:p w14:paraId="75B1654C" w14:textId="2FAF3842" w:rsidR="00024591" w:rsidRPr="00532D29" w:rsidRDefault="00391FC1" w:rsidP="005707A1">
      <w:pPr>
        <w:pStyle w:val="ListParagraph"/>
        <w:numPr>
          <w:ilvl w:val="0"/>
          <w:numId w:val="21"/>
        </w:numPr>
        <w:rPr>
          <w:rFonts w:ascii="Arial" w:hAnsi="Arial" w:cs="Arial"/>
          <w:sz w:val="26"/>
          <w:szCs w:val="26"/>
        </w:rPr>
      </w:pPr>
      <w:r w:rsidRPr="00532D29">
        <w:rPr>
          <w:rFonts w:ascii="Arial" w:hAnsi="Arial" w:cs="Arial"/>
          <w:sz w:val="26"/>
          <w:szCs w:val="26"/>
        </w:rPr>
        <w:lastRenderedPageBreak/>
        <w:t xml:space="preserve">Where a referral is made to the NACC, </w:t>
      </w:r>
      <w:r w:rsidR="001B07EC" w:rsidRPr="00532D29">
        <w:rPr>
          <w:rFonts w:ascii="Arial" w:hAnsi="Arial" w:cs="Arial"/>
          <w:sz w:val="26"/>
          <w:szCs w:val="26"/>
        </w:rPr>
        <w:t>TEQSA</w:t>
      </w:r>
      <w:r w:rsidRPr="00532D29">
        <w:rPr>
          <w:rFonts w:ascii="Arial" w:hAnsi="Arial" w:cs="Arial"/>
          <w:sz w:val="26"/>
          <w:szCs w:val="26"/>
        </w:rPr>
        <w:t xml:space="preserve"> should continue to deal with/handle a disclosure (s39 of the NACC Act), unless a stop action direction has been issued under s43(1) of the NACC Act. </w:t>
      </w:r>
    </w:p>
    <w:p w14:paraId="6EA1B9D2" w14:textId="77777777" w:rsidR="005707A1" w:rsidRPr="00532D29" w:rsidRDefault="005707A1" w:rsidP="005707A1">
      <w:pPr>
        <w:pStyle w:val="ListParagraph"/>
        <w:rPr>
          <w:rFonts w:ascii="Arial" w:hAnsi="Arial" w:cs="Arial"/>
          <w:sz w:val="26"/>
          <w:szCs w:val="26"/>
        </w:rPr>
      </w:pPr>
    </w:p>
    <w:p w14:paraId="6646BE1F" w14:textId="4FCC6093" w:rsidR="00FA301B" w:rsidRPr="00532D29" w:rsidRDefault="00391FC1" w:rsidP="005707A1">
      <w:pPr>
        <w:pStyle w:val="ListParagraph"/>
        <w:numPr>
          <w:ilvl w:val="0"/>
          <w:numId w:val="21"/>
        </w:numPr>
        <w:rPr>
          <w:rFonts w:ascii="Arial" w:hAnsi="Arial" w:cs="Arial"/>
          <w:sz w:val="26"/>
          <w:szCs w:val="26"/>
        </w:rPr>
      </w:pPr>
      <w:r w:rsidRPr="00532D29">
        <w:rPr>
          <w:rFonts w:ascii="Arial" w:hAnsi="Arial" w:cs="Arial"/>
          <w:sz w:val="26"/>
          <w:szCs w:val="26"/>
        </w:rPr>
        <w:t>The NACC Act contains particular obligations with respect to stop action directions.</w:t>
      </w:r>
    </w:p>
    <w:p w14:paraId="14D2055A" w14:textId="4D142234" w:rsidR="7D066A45" w:rsidRPr="00532D29" w:rsidRDefault="00FA301B" w:rsidP="5FBC1E8D">
      <w:pPr>
        <w:pStyle w:val="Heading2"/>
        <w:rPr>
          <w:rFonts w:ascii="Arial" w:eastAsia="Calibri" w:hAnsi="Arial" w:cs="Arial"/>
          <w:color w:val="004D7D"/>
          <w:sz w:val="42"/>
          <w:szCs w:val="42"/>
        </w:rPr>
      </w:pPr>
      <w:bookmarkStart w:id="6" w:name="_Toc151125739"/>
      <w:r w:rsidRPr="00532D29">
        <w:rPr>
          <w:rFonts w:ascii="Arial" w:eastAsia="Calibri" w:hAnsi="Arial" w:cs="Arial"/>
          <w:color w:val="004D7D"/>
          <w:sz w:val="42"/>
          <w:szCs w:val="42"/>
        </w:rPr>
        <w:t>4</w:t>
      </w:r>
      <w:r w:rsidR="7D066A45" w:rsidRPr="00532D29">
        <w:rPr>
          <w:rFonts w:ascii="Arial" w:eastAsia="Calibri" w:hAnsi="Arial" w:cs="Arial"/>
          <w:color w:val="004D7D"/>
          <w:sz w:val="42"/>
          <w:szCs w:val="42"/>
        </w:rPr>
        <w:t>. Making a Public Interest Disclosure</w:t>
      </w:r>
      <w:bookmarkEnd w:id="6"/>
    </w:p>
    <w:p w14:paraId="2232BE1F" w14:textId="38FD3466"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Generally</w:t>
      </w:r>
      <w:r w:rsidR="00D75C63" w:rsidRPr="00532D29">
        <w:rPr>
          <w:rFonts w:ascii="Arial" w:eastAsia="Calibri" w:hAnsi="Arial" w:cs="Arial"/>
          <w:color w:val="565A66"/>
          <w:sz w:val="26"/>
          <w:szCs w:val="26"/>
        </w:rPr>
        <w:t>,</w:t>
      </w:r>
      <w:r w:rsidRPr="00532D29">
        <w:rPr>
          <w:rFonts w:ascii="Arial" w:eastAsia="Calibri" w:hAnsi="Arial" w:cs="Arial"/>
          <w:color w:val="565A66"/>
          <w:sz w:val="26"/>
          <w:szCs w:val="26"/>
        </w:rPr>
        <w:t xml:space="preserve"> public officials wanting to make a PID about misconduct by TEQSA or its public officials should make an internal disclosure in the first instance to an Authorised Officer.</w:t>
      </w:r>
    </w:p>
    <w:p w14:paraId="44F5CFE7" w14:textId="77777777" w:rsidR="00AD22FF" w:rsidRPr="00532D29" w:rsidRDefault="00AD22FF" w:rsidP="00973990">
      <w:pPr>
        <w:pStyle w:val="ListParagraph"/>
        <w:rPr>
          <w:rFonts w:ascii="Arial" w:hAnsi="Arial" w:cs="Arial"/>
        </w:rPr>
      </w:pPr>
    </w:p>
    <w:p w14:paraId="0E73DE52" w14:textId="2CE9D3DF" w:rsidR="004D14A0"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A PID may be made to a supervisor, who is required to give the information to an Authorised Officer of TEQSA. Where a supervisor is aware that a person has made a public interest disclosure, they must monitor the work environment for signs of detriment and</w:t>
      </w:r>
      <w:r w:rsidR="00D75C63" w:rsidRPr="00532D29">
        <w:rPr>
          <w:rFonts w:ascii="Arial" w:eastAsia="Calibri" w:hAnsi="Arial" w:cs="Arial"/>
          <w:color w:val="565A66"/>
          <w:sz w:val="26"/>
          <w:szCs w:val="26"/>
        </w:rPr>
        <w:t>,</w:t>
      </w:r>
      <w:r w:rsidRPr="00532D29">
        <w:rPr>
          <w:rFonts w:ascii="Arial" w:eastAsia="Calibri" w:hAnsi="Arial" w:cs="Arial"/>
          <w:color w:val="565A66"/>
          <w:sz w:val="26"/>
          <w:szCs w:val="26"/>
        </w:rPr>
        <w:t xml:space="preserve"> if necessary, take corrective action early. A supervisor who is aware that a person has made a public interest disclosure must also take reasonable steps to support the discloser.</w:t>
      </w:r>
    </w:p>
    <w:p w14:paraId="04EE6188" w14:textId="2D6065CC" w:rsidR="00AD22FF" w:rsidRPr="00532D29" w:rsidRDefault="00AD22FF" w:rsidP="00973990">
      <w:pPr>
        <w:pStyle w:val="ListParagraph"/>
        <w:rPr>
          <w:rFonts w:ascii="Arial" w:hAnsi="Arial" w:cs="Arial"/>
        </w:rPr>
      </w:pPr>
    </w:p>
    <w:p w14:paraId="3FE7F068" w14:textId="436B42CC"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Allegations concerning an Authorised Officer should be referred directly to another Authorised Officer or to the CEO.</w:t>
      </w:r>
    </w:p>
    <w:p w14:paraId="7A3F7AD2" w14:textId="77777777" w:rsidR="00AD22FF" w:rsidRPr="00532D29" w:rsidRDefault="00AD22FF" w:rsidP="00973990">
      <w:pPr>
        <w:pStyle w:val="ListParagraph"/>
        <w:rPr>
          <w:rFonts w:ascii="Arial" w:hAnsi="Arial" w:cs="Arial"/>
        </w:rPr>
      </w:pPr>
    </w:p>
    <w:p w14:paraId="7A88DBC7" w14:textId="266E8DB7"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The Authorised Officers to whom internal PIDs can be made in TEQSA are:</w:t>
      </w:r>
    </w:p>
    <w:p w14:paraId="6A942D1D" w14:textId="7832B10E" w:rsidR="7D066A45" w:rsidRPr="00532D29" w:rsidRDefault="7D066A45" w:rsidP="00973990">
      <w:pPr>
        <w:pStyle w:val="ListParagraph"/>
        <w:numPr>
          <w:ilvl w:val="0"/>
          <w:numId w:val="33"/>
        </w:numPr>
        <w:spacing w:after="0"/>
        <w:rPr>
          <w:rFonts w:ascii="Arial" w:eastAsia="Calibri" w:hAnsi="Arial" w:cs="Arial"/>
          <w:color w:val="565A66"/>
          <w:sz w:val="26"/>
          <w:szCs w:val="26"/>
        </w:rPr>
      </w:pPr>
      <w:r w:rsidRPr="00532D29">
        <w:rPr>
          <w:rFonts w:ascii="Arial" w:eastAsia="Calibri" w:hAnsi="Arial" w:cs="Arial"/>
          <w:color w:val="565A66"/>
          <w:sz w:val="26"/>
          <w:szCs w:val="26"/>
        </w:rPr>
        <w:t>Chief Executive Officer</w:t>
      </w:r>
    </w:p>
    <w:p w14:paraId="619BEB42" w14:textId="154C98B3" w:rsidR="7D066A45" w:rsidRPr="00532D29" w:rsidRDefault="7D066A45" w:rsidP="00973990">
      <w:pPr>
        <w:pStyle w:val="ListParagraph"/>
        <w:numPr>
          <w:ilvl w:val="0"/>
          <w:numId w:val="33"/>
        </w:numPr>
        <w:spacing w:after="0"/>
        <w:rPr>
          <w:rFonts w:ascii="Arial" w:eastAsia="Calibri" w:hAnsi="Arial" w:cs="Arial"/>
          <w:color w:val="565A66"/>
          <w:sz w:val="26"/>
          <w:szCs w:val="26"/>
        </w:rPr>
      </w:pPr>
      <w:r w:rsidRPr="00532D29">
        <w:rPr>
          <w:rFonts w:ascii="Arial" w:eastAsia="Calibri" w:hAnsi="Arial" w:cs="Arial"/>
          <w:color w:val="565A66"/>
          <w:sz w:val="26"/>
          <w:szCs w:val="26"/>
        </w:rPr>
        <w:t>Executive Director, Regulatory Operations</w:t>
      </w:r>
    </w:p>
    <w:p w14:paraId="03D6BD13" w14:textId="1CB02340" w:rsidR="7D066A45" w:rsidRPr="00532D29" w:rsidRDefault="7D066A45" w:rsidP="00973990">
      <w:pPr>
        <w:pStyle w:val="ListParagraph"/>
        <w:numPr>
          <w:ilvl w:val="0"/>
          <w:numId w:val="33"/>
        </w:numPr>
        <w:spacing w:after="0"/>
        <w:rPr>
          <w:rFonts w:ascii="Arial" w:eastAsia="Calibri" w:hAnsi="Arial" w:cs="Arial"/>
          <w:color w:val="565A66"/>
          <w:sz w:val="26"/>
          <w:szCs w:val="26"/>
        </w:rPr>
      </w:pPr>
      <w:r w:rsidRPr="00532D29">
        <w:rPr>
          <w:rFonts w:ascii="Arial" w:eastAsia="Calibri" w:hAnsi="Arial" w:cs="Arial"/>
          <w:color w:val="565A66"/>
          <w:sz w:val="26"/>
          <w:szCs w:val="26"/>
        </w:rPr>
        <w:t>Director, Corporate</w:t>
      </w:r>
    </w:p>
    <w:p w14:paraId="090B9FCE" w14:textId="77777777" w:rsidR="00073F34" w:rsidRDefault="7D066A45" w:rsidP="00973990">
      <w:pPr>
        <w:pStyle w:val="ListParagraph"/>
        <w:numPr>
          <w:ilvl w:val="0"/>
          <w:numId w:val="33"/>
        </w:numPr>
        <w:spacing w:after="0"/>
        <w:rPr>
          <w:rFonts w:ascii="Arial" w:eastAsia="Calibri" w:hAnsi="Arial" w:cs="Arial"/>
          <w:color w:val="565A66"/>
          <w:sz w:val="26"/>
          <w:szCs w:val="26"/>
        </w:rPr>
      </w:pPr>
      <w:r w:rsidRPr="00532D29">
        <w:rPr>
          <w:rFonts w:ascii="Arial" w:eastAsia="Calibri" w:hAnsi="Arial" w:cs="Arial"/>
          <w:color w:val="565A66"/>
          <w:sz w:val="26"/>
          <w:szCs w:val="26"/>
        </w:rPr>
        <w:t>General Counsel</w:t>
      </w:r>
    </w:p>
    <w:p w14:paraId="2B08537D" w14:textId="41B6E8C0" w:rsidR="7D066A45" w:rsidRPr="00532D29" w:rsidRDefault="00073F34" w:rsidP="00973990">
      <w:pPr>
        <w:pStyle w:val="ListParagraph"/>
        <w:numPr>
          <w:ilvl w:val="0"/>
          <w:numId w:val="33"/>
        </w:numPr>
        <w:spacing w:after="0"/>
        <w:rPr>
          <w:rFonts w:ascii="Arial" w:eastAsia="Calibri" w:hAnsi="Arial" w:cs="Arial"/>
          <w:color w:val="565A66"/>
          <w:sz w:val="26"/>
          <w:szCs w:val="26"/>
        </w:rPr>
      </w:pPr>
      <w:r w:rsidRPr="00073F34">
        <w:rPr>
          <w:rFonts w:ascii="Arial" w:eastAsia="Calibri" w:hAnsi="Arial" w:cs="Arial"/>
          <w:color w:val="565A66"/>
          <w:sz w:val="26"/>
          <w:szCs w:val="26"/>
        </w:rPr>
        <w:t>Chief People Officer</w:t>
      </w:r>
      <w:r w:rsidR="7D066A45" w:rsidRPr="00532D29">
        <w:rPr>
          <w:rFonts w:ascii="Arial" w:eastAsia="Calibri" w:hAnsi="Arial" w:cs="Arial"/>
          <w:color w:val="565A66"/>
          <w:sz w:val="26"/>
          <w:szCs w:val="26"/>
        </w:rPr>
        <w:t>.</w:t>
      </w:r>
    </w:p>
    <w:p w14:paraId="54D3E0A5" w14:textId="77777777" w:rsidR="00AD22FF" w:rsidRPr="00532D29" w:rsidRDefault="00AD22FF" w:rsidP="00973990">
      <w:pPr>
        <w:pStyle w:val="ListParagraph"/>
        <w:rPr>
          <w:rFonts w:ascii="Arial" w:hAnsi="Arial" w:cs="Arial"/>
        </w:rPr>
      </w:pPr>
    </w:p>
    <w:p w14:paraId="15672B7E" w14:textId="54622936"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The Authorised Officers may be contacted by:</w:t>
      </w:r>
    </w:p>
    <w:p w14:paraId="7DF06518" w14:textId="58BE9CDB" w:rsidR="7D066A45" w:rsidRPr="00532D29" w:rsidRDefault="7D066A45" w:rsidP="00973990">
      <w:pPr>
        <w:pStyle w:val="ListParagraph"/>
        <w:numPr>
          <w:ilvl w:val="0"/>
          <w:numId w:val="25"/>
        </w:numPr>
        <w:spacing w:after="0"/>
        <w:rPr>
          <w:rFonts w:ascii="Arial" w:eastAsia="Calibri" w:hAnsi="Arial" w:cs="Arial"/>
          <w:color w:val="565A66"/>
          <w:sz w:val="26"/>
          <w:szCs w:val="26"/>
        </w:rPr>
      </w:pPr>
      <w:r w:rsidRPr="00532D29">
        <w:rPr>
          <w:rFonts w:ascii="Arial" w:eastAsia="Calibri" w:hAnsi="Arial" w:cs="Arial"/>
          <w:color w:val="565A66"/>
          <w:sz w:val="26"/>
          <w:szCs w:val="26"/>
        </w:rPr>
        <w:t xml:space="preserve">email: </w:t>
      </w:r>
      <w:hyperlink r:id="rId14">
        <w:r w:rsidRPr="00532D29">
          <w:rPr>
            <w:rStyle w:val="Hyperlink"/>
            <w:rFonts w:ascii="Arial" w:eastAsia="Calibri" w:hAnsi="Arial" w:cs="Arial"/>
            <w:color w:val="003E64"/>
            <w:sz w:val="26"/>
            <w:szCs w:val="26"/>
          </w:rPr>
          <w:t>review@teqsa.gov.au</w:t>
        </w:r>
      </w:hyperlink>
      <w:r w:rsidRPr="00532D29">
        <w:rPr>
          <w:rFonts w:ascii="Arial" w:eastAsia="Calibri" w:hAnsi="Arial" w:cs="Arial"/>
          <w:color w:val="565A66"/>
          <w:sz w:val="26"/>
          <w:szCs w:val="26"/>
        </w:rPr>
        <w:t xml:space="preserve"> (please note, this inbox is managed by TEQSA’s Legal Group. If you wish to approach another group then please use the phone number below); or</w:t>
      </w:r>
    </w:p>
    <w:p w14:paraId="4095A861" w14:textId="07C5952E" w:rsidR="7D066A45" w:rsidRPr="00532D29" w:rsidRDefault="7D066A45" w:rsidP="00973990">
      <w:pPr>
        <w:pStyle w:val="ListParagraph"/>
        <w:numPr>
          <w:ilvl w:val="0"/>
          <w:numId w:val="25"/>
        </w:numPr>
        <w:spacing w:after="0"/>
        <w:rPr>
          <w:rFonts w:ascii="Arial" w:eastAsia="Calibri" w:hAnsi="Arial" w:cs="Arial"/>
          <w:color w:val="565A66"/>
          <w:sz w:val="26"/>
          <w:szCs w:val="26"/>
        </w:rPr>
      </w:pPr>
      <w:r w:rsidRPr="00532D29">
        <w:rPr>
          <w:rFonts w:ascii="Arial" w:eastAsia="Calibri" w:hAnsi="Arial" w:cs="Arial"/>
          <w:color w:val="565A66"/>
          <w:sz w:val="26"/>
          <w:szCs w:val="26"/>
        </w:rPr>
        <w:t xml:space="preserve">telephone: 1300 739 585 - ask for the Chief Executive Officer, the Executive Director, Regulatory Operations, the Director, Corporate, </w:t>
      </w:r>
      <w:r w:rsidR="00375AEC" w:rsidRPr="00532D29">
        <w:rPr>
          <w:rFonts w:ascii="Arial" w:eastAsia="Calibri" w:hAnsi="Arial" w:cs="Arial"/>
          <w:color w:val="565A66"/>
          <w:sz w:val="26"/>
          <w:szCs w:val="26"/>
        </w:rPr>
        <w:t xml:space="preserve">or </w:t>
      </w:r>
      <w:r w:rsidRPr="00532D29">
        <w:rPr>
          <w:rFonts w:ascii="Arial" w:eastAsia="Calibri" w:hAnsi="Arial" w:cs="Arial"/>
          <w:color w:val="565A66"/>
          <w:sz w:val="26"/>
          <w:szCs w:val="26"/>
        </w:rPr>
        <w:t>the General Counsel.</w:t>
      </w:r>
    </w:p>
    <w:p w14:paraId="3B31CF3C" w14:textId="77777777" w:rsidR="00AD22FF" w:rsidRPr="00532D29" w:rsidRDefault="00AD22FF" w:rsidP="00973990">
      <w:pPr>
        <w:pStyle w:val="ListParagraph"/>
        <w:rPr>
          <w:rFonts w:ascii="Arial" w:hAnsi="Arial" w:cs="Arial"/>
        </w:rPr>
      </w:pPr>
    </w:p>
    <w:p w14:paraId="3DA5912D" w14:textId="523D0B2D" w:rsidR="008275CB"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lastRenderedPageBreak/>
        <w:t>Making an internal PID to TEQSA gives the agency the chance to investigate the matter and remove any danger or correct any wrong practices as quickly as possible.</w:t>
      </w:r>
    </w:p>
    <w:p w14:paraId="71135A66" w14:textId="77777777" w:rsidR="001B6CD7" w:rsidRPr="00532D29" w:rsidRDefault="001B6CD7" w:rsidP="00973990">
      <w:pPr>
        <w:pStyle w:val="ListParagraph"/>
        <w:rPr>
          <w:rFonts w:ascii="Arial" w:hAnsi="Arial" w:cs="Arial"/>
        </w:rPr>
      </w:pPr>
    </w:p>
    <w:p w14:paraId="2759402C" w14:textId="36763D1D"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Internal PIDs may also be made to the Commonwealth Ombudsman, if the discloser believes on reasonable grounds that it would be appropriate for the PID to be investigated by the Ombudsman.</w:t>
      </w:r>
    </w:p>
    <w:p w14:paraId="408FA810" w14:textId="5253A3CA" w:rsidR="7D066A45" w:rsidRPr="00532D29" w:rsidRDefault="7D066A45" w:rsidP="5FBC1E8D">
      <w:pPr>
        <w:pStyle w:val="Heading3"/>
        <w:rPr>
          <w:rFonts w:ascii="Arial" w:hAnsi="Arial" w:cs="Arial"/>
        </w:rPr>
      </w:pPr>
      <w:bookmarkStart w:id="7" w:name="_Toc151125740"/>
      <w:r w:rsidRPr="00532D29">
        <w:rPr>
          <w:rFonts w:ascii="Arial" w:eastAsia="Calibri" w:hAnsi="Arial" w:cs="Arial"/>
          <w:color w:val="004D7D"/>
          <w:sz w:val="36"/>
          <w:szCs w:val="36"/>
        </w:rPr>
        <w:t>Orally or in writing</w:t>
      </w:r>
      <w:bookmarkEnd w:id="7"/>
    </w:p>
    <w:p w14:paraId="1F80513E" w14:textId="57A59D80"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PIDs may be made orally or in writing. A written PID, accompanied by any relevant supporting information or evidence will facilitate the investigation of the PID. Relevant information to be provided with a disclosure may include:</w:t>
      </w:r>
    </w:p>
    <w:p w14:paraId="7E43709B" w14:textId="44C78658" w:rsidR="7D066A45" w:rsidRPr="00532D29" w:rsidRDefault="7D066A45" w:rsidP="00520BF3">
      <w:pPr>
        <w:pStyle w:val="ListParagraph"/>
        <w:numPr>
          <w:ilvl w:val="0"/>
          <w:numId w:val="11"/>
        </w:numPr>
        <w:spacing w:after="0"/>
        <w:rPr>
          <w:rFonts w:ascii="Arial" w:eastAsia="Calibri" w:hAnsi="Arial" w:cs="Arial"/>
          <w:color w:val="565A66"/>
          <w:sz w:val="26"/>
          <w:szCs w:val="26"/>
        </w:rPr>
      </w:pPr>
      <w:r w:rsidRPr="00532D29">
        <w:rPr>
          <w:rFonts w:ascii="Arial" w:eastAsia="Calibri" w:hAnsi="Arial" w:cs="Arial"/>
          <w:color w:val="565A66"/>
          <w:sz w:val="26"/>
          <w:szCs w:val="26"/>
        </w:rPr>
        <w:t>the nature of the wrongdoing</w:t>
      </w:r>
    </w:p>
    <w:p w14:paraId="2EAA4E91" w14:textId="2D0A99A2" w:rsidR="7D066A45" w:rsidRPr="00532D29" w:rsidRDefault="7D066A45" w:rsidP="00520BF3">
      <w:pPr>
        <w:pStyle w:val="ListParagraph"/>
        <w:numPr>
          <w:ilvl w:val="0"/>
          <w:numId w:val="11"/>
        </w:numPr>
        <w:spacing w:after="0"/>
        <w:rPr>
          <w:rFonts w:ascii="Arial" w:eastAsia="Calibri" w:hAnsi="Arial" w:cs="Arial"/>
          <w:color w:val="565A66"/>
          <w:sz w:val="26"/>
          <w:szCs w:val="26"/>
        </w:rPr>
      </w:pPr>
      <w:r w:rsidRPr="00532D29">
        <w:rPr>
          <w:rFonts w:ascii="Arial" w:eastAsia="Calibri" w:hAnsi="Arial" w:cs="Arial"/>
          <w:color w:val="565A66"/>
          <w:sz w:val="26"/>
          <w:szCs w:val="26"/>
        </w:rPr>
        <w:t>who the discloser thinks committed the wrongdoing</w:t>
      </w:r>
    </w:p>
    <w:p w14:paraId="6B2CB4AA" w14:textId="27C757DC" w:rsidR="7D066A45" w:rsidRPr="00532D29" w:rsidRDefault="7D066A45" w:rsidP="00520BF3">
      <w:pPr>
        <w:pStyle w:val="ListParagraph"/>
        <w:numPr>
          <w:ilvl w:val="0"/>
          <w:numId w:val="11"/>
        </w:numPr>
        <w:spacing w:after="0"/>
        <w:rPr>
          <w:rFonts w:ascii="Arial" w:eastAsia="Calibri" w:hAnsi="Arial" w:cs="Arial"/>
          <w:color w:val="565A66"/>
          <w:sz w:val="26"/>
          <w:szCs w:val="26"/>
        </w:rPr>
      </w:pPr>
      <w:r w:rsidRPr="00532D29">
        <w:rPr>
          <w:rFonts w:ascii="Arial" w:eastAsia="Calibri" w:hAnsi="Arial" w:cs="Arial"/>
          <w:color w:val="565A66"/>
          <w:sz w:val="26"/>
          <w:szCs w:val="26"/>
        </w:rPr>
        <w:t>when and where the wrongdoing occurred</w:t>
      </w:r>
    </w:p>
    <w:p w14:paraId="669D5DC2" w14:textId="6F905E91" w:rsidR="7D066A45" w:rsidRPr="00532D29" w:rsidRDefault="7D066A45" w:rsidP="00520BF3">
      <w:pPr>
        <w:pStyle w:val="ListParagraph"/>
        <w:numPr>
          <w:ilvl w:val="0"/>
          <w:numId w:val="11"/>
        </w:numPr>
        <w:spacing w:after="0"/>
        <w:rPr>
          <w:rFonts w:ascii="Arial" w:eastAsia="Calibri" w:hAnsi="Arial" w:cs="Arial"/>
          <w:color w:val="565A66"/>
          <w:sz w:val="26"/>
          <w:szCs w:val="26"/>
        </w:rPr>
      </w:pPr>
      <w:r w:rsidRPr="00532D29">
        <w:rPr>
          <w:rFonts w:ascii="Arial" w:eastAsia="Calibri" w:hAnsi="Arial" w:cs="Arial"/>
          <w:color w:val="565A66"/>
          <w:sz w:val="26"/>
          <w:szCs w:val="26"/>
        </w:rPr>
        <w:t>relevant events surrounding the disclosed conduct</w:t>
      </w:r>
    </w:p>
    <w:p w14:paraId="77CB74C8" w14:textId="0E2F32FB" w:rsidR="7D066A45" w:rsidRPr="00532D29" w:rsidRDefault="7D066A45" w:rsidP="00520BF3">
      <w:pPr>
        <w:pStyle w:val="ListParagraph"/>
        <w:numPr>
          <w:ilvl w:val="0"/>
          <w:numId w:val="11"/>
        </w:numPr>
        <w:spacing w:after="0"/>
        <w:rPr>
          <w:rFonts w:ascii="Arial" w:eastAsia="Calibri" w:hAnsi="Arial" w:cs="Arial"/>
          <w:color w:val="565A66"/>
          <w:sz w:val="26"/>
          <w:szCs w:val="26"/>
        </w:rPr>
      </w:pPr>
      <w:r w:rsidRPr="00532D29">
        <w:rPr>
          <w:rFonts w:ascii="Arial" w:eastAsia="Calibri" w:hAnsi="Arial" w:cs="Arial"/>
          <w:color w:val="565A66"/>
          <w:sz w:val="26"/>
          <w:szCs w:val="26"/>
        </w:rPr>
        <w:t>if the discloser did anything in response to the wrongdoing</w:t>
      </w:r>
    </w:p>
    <w:p w14:paraId="275D5E01" w14:textId="11C17191" w:rsidR="7D066A45" w:rsidRPr="00532D29" w:rsidRDefault="7D066A45" w:rsidP="00520BF3">
      <w:pPr>
        <w:pStyle w:val="ListParagraph"/>
        <w:numPr>
          <w:ilvl w:val="0"/>
          <w:numId w:val="11"/>
        </w:numPr>
        <w:spacing w:after="0"/>
        <w:rPr>
          <w:rFonts w:ascii="Arial" w:eastAsia="Calibri" w:hAnsi="Arial" w:cs="Arial"/>
          <w:color w:val="565A66"/>
          <w:sz w:val="26"/>
          <w:szCs w:val="26"/>
        </w:rPr>
      </w:pPr>
      <w:r w:rsidRPr="00532D29">
        <w:rPr>
          <w:rFonts w:ascii="Arial" w:eastAsia="Calibri" w:hAnsi="Arial" w:cs="Arial"/>
          <w:color w:val="565A66"/>
          <w:sz w:val="26"/>
          <w:szCs w:val="26"/>
        </w:rPr>
        <w:t>others who know about the wrongdoing</w:t>
      </w:r>
    </w:p>
    <w:p w14:paraId="60C5FA86" w14:textId="579983BA" w:rsidR="7D066A45" w:rsidRPr="00532D29" w:rsidRDefault="7D066A45" w:rsidP="00520BF3">
      <w:pPr>
        <w:pStyle w:val="ListParagraph"/>
        <w:numPr>
          <w:ilvl w:val="0"/>
          <w:numId w:val="11"/>
        </w:numPr>
        <w:spacing w:after="0"/>
        <w:rPr>
          <w:rFonts w:ascii="Arial" w:eastAsia="Calibri" w:hAnsi="Arial" w:cs="Arial"/>
          <w:color w:val="565A66"/>
          <w:sz w:val="26"/>
          <w:szCs w:val="26"/>
        </w:rPr>
      </w:pPr>
      <w:r w:rsidRPr="00532D29">
        <w:rPr>
          <w:rFonts w:ascii="Arial" w:eastAsia="Calibri" w:hAnsi="Arial" w:cs="Arial"/>
          <w:color w:val="565A66"/>
          <w:sz w:val="26"/>
          <w:szCs w:val="26"/>
        </w:rPr>
        <w:t>concerns about possible reprisal as a result of making the PID.</w:t>
      </w:r>
    </w:p>
    <w:p w14:paraId="2C2B2A8E" w14:textId="77777777" w:rsidR="00AD22FF" w:rsidRPr="00532D29" w:rsidRDefault="00AD22FF" w:rsidP="00973990">
      <w:pPr>
        <w:pStyle w:val="ListParagraph"/>
        <w:rPr>
          <w:rFonts w:ascii="Arial" w:hAnsi="Arial" w:cs="Arial"/>
        </w:rPr>
      </w:pPr>
    </w:p>
    <w:p w14:paraId="0BEA6F81" w14:textId="7C8008CC"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 xml:space="preserve">Disclosures should be clear and factual and avoid speculation. The discloser should </w:t>
      </w:r>
      <w:r w:rsidR="00920B87" w:rsidRPr="00532D29">
        <w:rPr>
          <w:rFonts w:ascii="Arial" w:eastAsia="Calibri" w:hAnsi="Arial" w:cs="Arial"/>
          <w:color w:val="565A66"/>
          <w:sz w:val="26"/>
          <w:szCs w:val="26"/>
        </w:rPr>
        <w:t xml:space="preserve">seek to </w:t>
      </w:r>
      <w:r w:rsidR="004A379C" w:rsidRPr="00532D29">
        <w:rPr>
          <w:rFonts w:ascii="Arial" w:eastAsia="Calibri" w:hAnsi="Arial" w:cs="Arial"/>
          <w:color w:val="565A66"/>
          <w:sz w:val="26"/>
          <w:szCs w:val="26"/>
        </w:rPr>
        <w:t xml:space="preserve">help </w:t>
      </w:r>
      <w:r w:rsidR="00920B87" w:rsidRPr="00532D29">
        <w:rPr>
          <w:rFonts w:ascii="Arial" w:eastAsia="Calibri" w:hAnsi="Arial" w:cs="Arial"/>
          <w:color w:val="565A66"/>
          <w:sz w:val="26"/>
          <w:szCs w:val="26"/>
        </w:rPr>
        <w:t>the</w:t>
      </w:r>
      <w:r w:rsidRPr="00532D29">
        <w:rPr>
          <w:rFonts w:ascii="Arial" w:eastAsia="Calibri" w:hAnsi="Arial" w:cs="Arial"/>
          <w:color w:val="565A66"/>
          <w:sz w:val="26"/>
          <w:szCs w:val="26"/>
        </w:rPr>
        <w:t xml:space="preserve"> Authorised Officer understand </w:t>
      </w:r>
      <w:r w:rsidR="004A379C" w:rsidRPr="00532D29">
        <w:rPr>
          <w:rFonts w:ascii="Arial" w:eastAsia="Calibri" w:hAnsi="Arial" w:cs="Arial"/>
          <w:color w:val="565A66"/>
          <w:sz w:val="26"/>
          <w:szCs w:val="26"/>
        </w:rPr>
        <w:t xml:space="preserve">that </w:t>
      </w:r>
      <w:r w:rsidRPr="00532D29">
        <w:rPr>
          <w:rFonts w:ascii="Arial" w:eastAsia="Calibri" w:hAnsi="Arial" w:cs="Arial"/>
          <w:color w:val="565A66"/>
          <w:sz w:val="26"/>
          <w:szCs w:val="26"/>
        </w:rPr>
        <w:t>the disclosure is a PID so that the necessary process may be commenced and the protections available under the PID Act apply.</w:t>
      </w:r>
      <w:r w:rsidR="00920B87" w:rsidRPr="00532D29">
        <w:rPr>
          <w:rFonts w:ascii="Arial" w:eastAsia="Calibri" w:hAnsi="Arial" w:cs="Arial"/>
          <w:color w:val="565A66"/>
          <w:sz w:val="26"/>
          <w:szCs w:val="26"/>
        </w:rPr>
        <w:t xml:space="preserve"> However, the disclosure</w:t>
      </w:r>
      <w:r w:rsidR="00F2170C" w:rsidRPr="00532D29">
        <w:rPr>
          <w:rFonts w:ascii="Arial" w:eastAsia="Calibri" w:hAnsi="Arial" w:cs="Arial"/>
          <w:color w:val="565A66"/>
          <w:sz w:val="26"/>
          <w:szCs w:val="26"/>
        </w:rPr>
        <w:t xml:space="preserve"> need</w:t>
      </w:r>
      <w:r w:rsidR="00920B87" w:rsidRPr="00532D29">
        <w:rPr>
          <w:rFonts w:ascii="Arial" w:eastAsia="Calibri" w:hAnsi="Arial" w:cs="Arial"/>
          <w:color w:val="565A66"/>
          <w:sz w:val="26"/>
          <w:szCs w:val="26"/>
        </w:rPr>
        <w:t xml:space="preserve"> not </w:t>
      </w:r>
      <w:r w:rsidR="00F2170C" w:rsidRPr="00532D29">
        <w:rPr>
          <w:rFonts w:ascii="Arial" w:eastAsia="Calibri" w:hAnsi="Arial" w:cs="Arial"/>
          <w:color w:val="565A66"/>
          <w:sz w:val="26"/>
          <w:szCs w:val="26"/>
        </w:rPr>
        <w:t xml:space="preserve">be described as a PID </w:t>
      </w:r>
      <w:r w:rsidR="00016C15" w:rsidRPr="00532D29">
        <w:rPr>
          <w:rFonts w:ascii="Arial" w:eastAsia="Calibri" w:hAnsi="Arial" w:cs="Arial"/>
          <w:color w:val="565A66"/>
          <w:sz w:val="26"/>
          <w:szCs w:val="26"/>
        </w:rPr>
        <w:t>for</w:t>
      </w:r>
      <w:r w:rsidR="00F2170C" w:rsidRPr="00532D29">
        <w:rPr>
          <w:rFonts w:ascii="Arial" w:eastAsia="Calibri" w:hAnsi="Arial" w:cs="Arial"/>
          <w:color w:val="565A66"/>
          <w:sz w:val="26"/>
          <w:szCs w:val="26"/>
        </w:rPr>
        <w:t xml:space="preserve"> it to be considered one</w:t>
      </w:r>
      <w:r w:rsidR="002A7EF5" w:rsidRPr="00532D29">
        <w:rPr>
          <w:rFonts w:ascii="Arial" w:eastAsia="Calibri" w:hAnsi="Arial" w:cs="Arial"/>
          <w:color w:val="565A66"/>
          <w:sz w:val="26"/>
          <w:szCs w:val="26"/>
        </w:rPr>
        <w:t xml:space="preserve"> (see </w:t>
      </w:r>
      <w:r w:rsidR="0017491B" w:rsidRPr="00532D29">
        <w:rPr>
          <w:rFonts w:ascii="Arial" w:eastAsia="Calibri" w:hAnsi="Arial" w:cs="Arial"/>
          <w:color w:val="565A66"/>
          <w:sz w:val="26"/>
          <w:szCs w:val="26"/>
        </w:rPr>
        <w:t>the relevant definition</w:t>
      </w:r>
      <w:r w:rsidR="6114AF83" w:rsidRPr="00532D29">
        <w:rPr>
          <w:rFonts w:ascii="Arial" w:eastAsia="Calibri" w:hAnsi="Arial" w:cs="Arial"/>
          <w:color w:val="565A66"/>
          <w:sz w:val="26"/>
          <w:szCs w:val="26"/>
        </w:rPr>
        <w:t xml:space="preserve"> in paragraph</w:t>
      </w:r>
      <w:r w:rsidR="0017491B" w:rsidRPr="00532D29">
        <w:rPr>
          <w:rFonts w:ascii="Arial" w:eastAsia="Calibri" w:hAnsi="Arial" w:cs="Arial"/>
          <w:color w:val="565A66"/>
          <w:sz w:val="26"/>
          <w:szCs w:val="26"/>
        </w:rPr>
        <w:t xml:space="preserve"> </w:t>
      </w:r>
      <w:r w:rsidR="00EA299B" w:rsidRPr="00532D29">
        <w:rPr>
          <w:rFonts w:ascii="Arial" w:eastAsia="Calibri" w:hAnsi="Arial" w:cs="Arial"/>
          <w:color w:val="565A66"/>
          <w:sz w:val="26"/>
          <w:szCs w:val="26"/>
        </w:rPr>
        <w:t xml:space="preserve">5 </w:t>
      </w:r>
      <w:r w:rsidR="00E973C4" w:rsidRPr="00532D29">
        <w:rPr>
          <w:rFonts w:ascii="Arial" w:eastAsia="Calibri" w:hAnsi="Arial" w:cs="Arial"/>
          <w:color w:val="565A66"/>
          <w:sz w:val="26"/>
          <w:szCs w:val="26"/>
        </w:rPr>
        <w:t xml:space="preserve">above </w:t>
      </w:r>
      <w:r w:rsidR="00EA299B" w:rsidRPr="00532D29">
        <w:rPr>
          <w:rFonts w:ascii="Arial" w:eastAsia="Calibri" w:hAnsi="Arial" w:cs="Arial"/>
          <w:color w:val="565A66"/>
          <w:sz w:val="26"/>
          <w:szCs w:val="26"/>
        </w:rPr>
        <w:t>for what constitutes a PID)</w:t>
      </w:r>
      <w:r w:rsidR="00F2170C" w:rsidRPr="00532D29">
        <w:rPr>
          <w:rFonts w:ascii="Arial" w:eastAsia="Calibri" w:hAnsi="Arial" w:cs="Arial"/>
          <w:color w:val="565A66"/>
          <w:sz w:val="26"/>
          <w:szCs w:val="26"/>
        </w:rPr>
        <w:t>.</w:t>
      </w:r>
    </w:p>
    <w:p w14:paraId="753B9199" w14:textId="77777777" w:rsidR="00CD19A7" w:rsidRPr="00532D29" w:rsidRDefault="00CD19A7" w:rsidP="00973990">
      <w:pPr>
        <w:pStyle w:val="ListParagraph"/>
        <w:rPr>
          <w:rFonts w:ascii="Arial" w:hAnsi="Arial" w:cs="Arial"/>
        </w:rPr>
      </w:pPr>
    </w:p>
    <w:p w14:paraId="473F3277" w14:textId="66A44C36" w:rsidR="009C0A6B" w:rsidRPr="00532D29" w:rsidRDefault="009C0A6B" w:rsidP="005707A1">
      <w:pPr>
        <w:pStyle w:val="ListParagraph"/>
        <w:numPr>
          <w:ilvl w:val="0"/>
          <w:numId w:val="21"/>
        </w:numPr>
        <w:rPr>
          <w:rFonts w:ascii="Arial" w:hAnsi="Arial" w:cs="Arial"/>
          <w:sz w:val="26"/>
          <w:szCs w:val="26"/>
        </w:rPr>
      </w:pPr>
      <w:r w:rsidRPr="00532D29">
        <w:rPr>
          <w:rFonts w:ascii="Arial" w:hAnsi="Arial" w:cs="Arial"/>
          <w:sz w:val="26"/>
          <w:szCs w:val="26"/>
        </w:rPr>
        <w:t xml:space="preserve">When a disclosure </w:t>
      </w:r>
      <w:r w:rsidR="00741FAD" w:rsidRPr="00532D29">
        <w:rPr>
          <w:rFonts w:ascii="Arial" w:hAnsi="Arial" w:cs="Arial"/>
          <w:sz w:val="26"/>
          <w:szCs w:val="26"/>
        </w:rPr>
        <w:t xml:space="preserve">is </w:t>
      </w:r>
      <w:r w:rsidRPr="00532D29">
        <w:rPr>
          <w:rFonts w:ascii="Arial" w:hAnsi="Arial" w:cs="Arial"/>
          <w:sz w:val="26"/>
          <w:szCs w:val="26"/>
        </w:rPr>
        <w:t xml:space="preserve">considered a PID, protections for the discloser contained in the PID Act may apply. These include: </w:t>
      </w:r>
    </w:p>
    <w:p w14:paraId="5E7FC91C" w14:textId="7A9450EC" w:rsidR="009C0A6B" w:rsidRPr="00532D29" w:rsidRDefault="009C0A6B" w:rsidP="00973990">
      <w:pPr>
        <w:pStyle w:val="ListParagraph"/>
        <w:numPr>
          <w:ilvl w:val="0"/>
          <w:numId w:val="32"/>
        </w:numPr>
        <w:rPr>
          <w:rFonts w:ascii="Arial" w:hAnsi="Arial" w:cs="Arial"/>
          <w:sz w:val="26"/>
          <w:szCs w:val="26"/>
        </w:rPr>
      </w:pPr>
      <w:r w:rsidRPr="00532D29">
        <w:rPr>
          <w:rFonts w:ascii="Arial" w:hAnsi="Arial" w:cs="Arial"/>
          <w:sz w:val="26"/>
          <w:szCs w:val="26"/>
        </w:rPr>
        <w:t xml:space="preserve">protection from reprisal action; </w:t>
      </w:r>
    </w:p>
    <w:p w14:paraId="79502B4B" w14:textId="57E35B76" w:rsidR="009C0A6B" w:rsidRPr="00532D29" w:rsidRDefault="009C0A6B" w:rsidP="00973990">
      <w:pPr>
        <w:pStyle w:val="ListParagraph"/>
        <w:numPr>
          <w:ilvl w:val="0"/>
          <w:numId w:val="32"/>
        </w:numPr>
        <w:rPr>
          <w:rFonts w:ascii="Arial" w:hAnsi="Arial" w:cs="Arial"/>
          <w:sz w:val="26"/>
          <w:szCs w:val="26"/>
        </w:rPr>
      </w:pPr>
      <w:r w:rsidRPr="00532D29">
        <w:rPr>
          <w:rFonts w:ascii="Arial" w:hAnsi="Arial" w:cs="Arial"/>
          <w:sz w:val="26"/>
          <w:szCs w:val="26"/>
        </w:rPr>
        <w:t xml:space="preserve">protection from liability and disciplinary action for making the PID (see s10(1)(a) of the PID Act); and </w:t>
      </w:r>
    </w:p>
    <w:p w14:paraId="0E7792E0" w14:textId="0E0237ED" w:rsidR="009C0A6B" w:rsidRPr="00532D29" w:rsidRDefault="009C0A6B" w:rsidP="00973990">
      <w:pPr>
        <w:pStyle w:val="ListParagraph"/>
        <w:numPr>
          <w:ilvl w:val="0"/>
          <w:numId w:val="32"/>
        </w:numPr>
        <w:rPr>
          <w:rFonts w:ascii="Arial" w:hAnsi="Arial" w:cs="Arial"/>
          <w:sz w:val="26"/>
          <w:szCs w:val="26"/>
        </w:rPr>
      </w:pPr>
      <w:r w:rsidRPr="00532D29">
        <w:rPr>
          <w:rFonts w:ascii="Arial" w:hAnsi="Arial" w:cs="Arial"/>
          <w:sz w:val="26"/>
          <w:szCs w:val="26"/>
        </w:rPr>
        <w:t>protection from contractual rights and remedies being exercised against the discloser on the</w:t>
      </w:r>
      <w:r w:rsidR="007F0514" w:rsidRPr="00532D29">
        <w:rPr>
          <w:rFonts w:ascii="Arial" w:hAnsi="Arial" w:cs="Arial"/>
          <w:sz w:val="26"/>
          <w:szCs w:val="26"/>
        </w:rPr>
        <w:t xml:space="preserve"> </w:t>
      </w:r>
      <w:r w:rsidRPr="00532D29">
        <w:rPr>
          <w:rFonts w:ascii="Arial" w:hAnsi="Arial" w:cs="Arial"/>
          <w:sz w:val="26"/>
          <w:szCs w:val="26"/>
        </w:rPr>
        <w:t xml:space="preserve">basis of the PID (see s10(1)(b) of the PID Act). </w:t>
      </w:r>
    </w:p>
    <w:p w14:paraId="3F878A53" w14:textId="77777777" w:rsidR="007F0514" w:rsidRPr="00532D29" w:rsidRDefault="007F0514" w:rsidP="00973990">
      <w:pPr>
        <w:pStyle w:val="ListParagraph"/>
        <w:rPr>
          <w:rFonts w:ascii="Arial" w:hAnsi="Arial" w:cs="Arial"/>
          <w:sz w:val="26"/>
          <w:szCs w:val="26"/>
        </w:rPr>
      </w:pPr>
    </w:p>
    <w:p w14:paraId="6C818BB3" w14:textId="2D46E5F7" w:rsidR="00283287" w:rsidRPr="00532D29" w:rsidRDefault="009C0A6B" w:rsidP="005707A1">
      <w:pPr>
        <w:pStyle w:val="ListParagraph"/>
        <w:numPr>
          <w:ilvl w:val="0"/>
          <w:numId w:val="21"/>
        </w:numPr>
        <w:rPr>
          <w:rFonts w:ascii="Arial" w:eastAsia="Calibri" w:hAnsi="Arial" w:cs="Arial"/>
          <w:color w:val="004D7D"/>
          <w:sz w:val="36"/>
          <w:szCs w:val="36"/>
        </w:rPr>
      </w:pPr>
      <w:r w:rsidRPr="00532D29">
        <w:rPr>
          <w:rFonts w:ascii="Arial" w:hAnsi="Arial" w:cs="Arial"/>
          <w:sz w:val="26"/>
          <w:szCs w:val="26"/>
        </w:rPr>
        <w:t>If the discloser has made a false or misleading disclosure, the protections will not apply.</w:t>
      </w:r>
    </w:p>
    <w:p w14:paraId="539A4471" w14:textId="4B613D82" w:rsidR="7D066A45" w:rsidRPr="00532D29" w:rsidRDefault="7D066A45" w:rsidP="5FBC1E8D">
      <w:pPr>
        <w:pStyle w:val="Heading3"/>
        <w:rPr>
          <w:rFonts w:ascii="Arial" w:hAnsi="Arial" w:cs="Arial"/>
        </w:rPr>
      </w:pPr>
      <w:bookmarkStart w:id="8" w:name="_Toc151125741"/>
      <w:r w:rsidRPr="00532D29">
        <w:rPr>
          <w:rFonts w:ascii="Arial" w:eastAsia="Calibri" w:hAnsi="Arial" w:cs="Arial"/>
          <w:color w:val="004D7D"/>
          <w:sz w:val="36"/>
          <w:szCs w:val="36"/>
        </w:rPr>
        <w:lastRenderedPageBreak/>
        <w:t>Anonymity and confidentiality</w:t>
      </w:r>
      <w:bookmarkEnd w:id="8"/>
    </w:p>
    <w:p w14:paraId="01010834" w14:textId="0DD494AA"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Disclosures may be made anonymously. However, the successful investigation of a PID often depends on the ability of the investigating officer to obtain further information from the discloser. By remaining anonymous, the discloser may limit the possibilities of the PID being resolved and make it difficult to ensure protection from reprisal.</w:t>
      </w:r>
    </w:p>
    <w:p w14:paraId="37F4815A" w14:textId="77777777" w:rsidR="00AD22FF" w:rsidRPr="00532D29" w:rsidRDefault="00AD22FF" w:rsidP="00973990">
      <w:pPr>
        <w:pStyle w:val="ListParagraph"/>
        <w:rPr>
          <w:rFonts w:ascii="Arial" w:hAnsi="Arial" w:cs="Arial"/>
        </w:rPr>
      </w:pPr>
    </w:p>
    <w:p w14:paraId="5EAAC242" w14:textId="06BA6655"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 xml:space="preserve">TEQSA’s Authorised Officers will take all reasonable steps to protect the identity of a public official who has made a PID.  </w:t>
      </w:r>
    </w:p>
    <w:p w14:paraId="186D44E3" w14:textId="77777777" w:rsidR="00AD22FF" w:rsidRPr="00532D29" w:rsidRDefault="00AD22FF" w:rsidP="00973990">
      <w:pPr>
        <w:pStyle w:val="ListParagraph"/>
        <w:rPr>
          <w:rFonts w:ascii="Arial" w:hAnsi="Arial" w:cs="Arial"/>
        </w:rPr>
      </w:pPr>
    </w:p>
    <w:p w14:paraId="116D3C86" w14:textId="4D3812D4"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 xml:space="preserve">All documentation relating to a PID must be stored in a separate confidential file and secured </w:t>
      </w:r>
      <w:r w:rsidR="00D043AF" w:rsidRPr="00532D29">
        <w:rPr>
          <w:rFonts w:ascii="Arial" w:eastAsia="Calibri" w:hAnsi="Arial" w:cs="Arial"/>
          <w:color w:val="565A66"/>
          <w:sz w:val="26"/>
          <w:szCs w:val="26"/>
        </w:rPr>
        <w:t>appropriately</w:t>
      </w:r>
      <w:r w:rsidRPr="00532D29">
        <w:rPr>
          <w:rFonts w:ascii="Arial" w:eastAsia="Calibri" w:hAnsi="Arial" w:cs="Arial"/>
          <w:color w:val="565A66"/>
          <w:sz w:val="26"/>
          <w:szCs w:val="26"/>
        </w:rPr>
        <w:t>.</w:t>
      </w:r>
    </w:p>
    <w:p w14:paraId="68191225" w14:textId="77777777" w:rsidR="00AD22FF" w:rsidRPr="00532D29" w:rsidRDefault="00AD22FF" w:rsidP="00973990">
      <w:pPr>
        <w:pStyle w:val="ListParagraph"/>
        <w:rPr>
          <w:rFonts w:ascii="Arial" w:hAnsi="Arial" w:cs="Arial"/>
        </w:rPr>
      </w:pPr>
    </w:p>
    <w:p w14:paraId="2229B25C" w14:textId="014C5302"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It is an offence for a public official to reveal the discloser's identifying information to anyone else without their consent or to use it for another purpose, other than in accordance with the PID Act. It is also an offence for a person who has information obtained in the course of conducting a disclosure investigation or in connection with their powers and functions under the PID Act to disclose or use the information, except for the purposes of the PID Act.</w:t>
      </w:r>
    </w:p>
    <w:p w14:paraId="690BEAC4" w14:textId="77777777" w:rsidR="00AD22FF" w:rsidRPr="00532D29" w:rsidRDefault="00AD22FF" w:rsidP="00973990">
      <w:pPr>
        <w:pStyle w:val="ListParagraph"/>
        <w:rPr>
          <w:rFonts w:ascii="Arial" w:hAnsi="Arial" w:cs="Arial"/>
        </w:rPr>
      </w:pPr>
    </w:p>
    <w:p w14:paraId="61DBD915" w14:textId="34CAF453"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If it is necessary or highly likely that the discloser's identity will be revealed, an Authorised Officer will discuss this with the discloser before proceeding. This may involve seeking the discloser's consent to reveal their identity to appropriate people.</w:t>
      </w:r>
    </w:p>
    <w:p w14:paraId="14734E6C" w14:textId="77777777" w:rsidR="00283287" w:rsidRPr="00532D29" w:rsidRDefault="00283287" w:rsidP="5FBC1E8D">
      <w:pPr>
        <w:pStyle w:val="Heading3"/>
        <w:rPr>
          <w:rFonts w:ascii="Arial" w:eastAsia="Calibri" w:hAnsi="Arial" w:cs="Arial"/>
          <w:color w:val="004D7D"/>
          <w:sz w:val="36"/>
          <w:szCs w:val="36"/>
        </w:rPr>
      </w:pPr>
    </w:p>
    <w:p w14:paraId="298242BE" w14:textId="29D2BB97" w:rsidR="7D066A45" w:rsidRPr="00532D29" w:rsidRDefault="7D066A45" w:rsidP="5FBC1E8D">
      <w:pPr>
        <w:pStyle w:val="Heading3"/>
        <w:rPr>
          <w:rFonts w:ascii="Arial" w:hAnsi="Arial" w:cs="Arial"/>
        </w:rPr>
      </w:pPr>
      <w:bookmarkStart w:id="9" w:name="_Toc151125742"/>
      <w:r w:rsidRPr="00532D29">
        <w:rPr>
          <w:rFonts w:ascii="Arial" w:eastAsia="Calibri" w:hAnsi="Arial" w:cs="Arial"/>
          <w:color w:val="004D7D"/>
          <w:sz w:val="36"/>
          <w:szCs w:val="36"/>
        </w:rPr>
        <w:t>Internal disclosures</w:t>
      </w:r>
      <w:bookmarkEnd w:id="9"/>
    </w:p>
    <w:p w14:paraId="1EE2B08E" w14:textId="05F52912" w:rsidR="00C801B2" w:rsidRPr="00532D29" w:rsidRDefault="7D066A45" w:rsidP="005707A1">
      <w:pPr>
        <w:pStyle w:val="ListParagraph"/>
        <w:numPr>
          <w:ilvl w:val="0"/>
          <w:numId w:val="21"/>
        </w:numPr>
        <w:rPr>
          <w:rFonts w:ascii="Arial" w:eastAsia="Calibri" w:hAnsi="Arial" w:cs="Arial"/>
          <w:color w:val="565A66"/>
          <w:sz w:val="26"/>
          <w:szCs w:val="26"/>
        </w:rPr>
      </w:pPr>
      <w:r w:rsidRPr="00532D29">
        <w:rPr>
          <w:rFonts w:ascii="Arial" w:eastAsia="Calibri" w:hAnsi="Arial" w:cs="Arial"/>
          <w:color w:val="565A66"/>
          <w:sz w:val="26"/>
          <w:szCs w:val="26"/>
        </w:rPr>
        <w:t>There are 4 types of public interest disclosures under the PID Act: internal disclosures, external disclosures, emergency disclosures and legal practitioner disclosures. These procedures</w:t>
      </w:r>
      <w:r w:rsidR="00FC1DE2" w:rsidRPr="00532D29">
        <w:rPr>
          <w:rFonts w:ascii="Arial" w:eastAsia="Calibri" w:hAnsi="Arial" w:cs="Arial"/>
          <w:color w:val="565A66"/>
          <w:sz w:val="26"/>
          <w:szCs w:val="26"/>
        </w:rPr>
        <w:t xml:space="preserve"> only</w:t>
      </w:r>
      <w:r w:rsidRPr="00532D29">
        <w:rPr>
          <w:rFonts w:ascii="Arial" w:eastAsia="Calibri" w:hAnsi="Arial" w:cs="Arial"/>
          <w:color w:val="565A66"/>
          <w:sz w:val="26"/>
          <w:szCs w:val="26"/>
        </w:rPr>
        <w:t xml:space="preserve"> deal with TEQSA’s approach to internal disclosures</w:t>
      </w:r>
      <w:r w:rsidR="00C66D53" w:rsidRPr="00532D29">
        <w:rPr>
          <w:rFonts w:ascii="Arial" w:eastAsia="Calibri" w:hAnsi="Arial" w:cs="Arial"/>
          <w:color w:val="565A66"/>
          <w:sz w:val="26"/>
          <w:szCs w:val="26"/>
        </w:rPr>
        <w:t>.</w:t>
      </w:r>
      <w:r w:rsidRPr="00532D29">
        <w:rPr>
          <w:rFonts w:ascii="Arial" w:eastAsia="Calibri" w:hAnsi="Arial" w:cs="Arial"/>
          <w:color w:val="565A66"/>
          <w:sz w:val="26"/>
          <w:szCs w:val="26"/>
        </w:rPr>
        <w:t xml:space="preserve"> </w:t>
      </w:r>
      <w:r w:rsidR="008B389F" w:rsidRPr="00532D29">
        <w:rPr>
          <w:rFonts w:ascii="Arial" w:eastAsia="Calibri" w:hAnsi="Arial" w:cs="Arial"/>
          <w:color w:val="565A66"/>
          <w:sz w:val="26"/>
          <w:szCs w:val="26"/>
        </w:rPr>
        <w:t>More information about the other types of disclosures is available in the PIC Act and on the Commonwealth Ombudsman’s website.</w:t>
      </w:r>
    </w:p>
    <w:p w14:paraId="6561190E" w14:textId="77777777" w:rsidR="00C801B2" w:rsidRPr="00532D29" w:rsidRDefault="00C801B2" w:rsidP="00C801B2">
      <w:pPr>
        <w:pStyle w:val="ListParagraph"/>
        <w:rPr>
          <w:rFonts w:ascii="Arial" w:eastAsia="Calibri" w:hAnsi="Arial" w:cs="Arial"/>
          <w:color w:val="565A66"/>
          <w:sz w:val="26"/>
          <w:szCs w:val="26"/>
        </w:rPr>
      </w:pPr>
    </w:p>
    <w:p w14:paraId="294946DB" w14:textId="49F312D8" w:rsidR="7D066A45" w:rsidRPr="00532D29" w:rsidRDefault="00FA301B" w:rsidP="5FBC1E8D">
      <w:pPr>
        <w:pStyle w:val="Heading2"/>
        <w:rPr>
          <w:rFonts w:ascii="Arial" w:eastAsia="Calibri" w:hAnsi="Arial" w:cs="Arial"/>
          <w:color w:val="004D7D"/>
          <w:sz w:val="42"/>
          <w:szCs w:val="42"/>
        </w:rPr>
      </w:pPr>
      <w:bookmarkStart w:id="10" w:name="_Toc151125743"/>
      <w:r w:rsidRPr="00532D29">
        <w:rPr>
          <w:rFonts w:ascii="Arial" w:eastAsia="Calibri" w:hAnsi="Arial" w:cs="Arial"/>
          <w:color w:val="004D7D"/>
          <w:sz w:val="42"/>
          <w:szCs w:val="42"/>
        </w:rPr>
        <w:lastRenderedPageBreak/>
        <w:t>5</w:t>
      </w:r>
      <w:r w:rsidR="7D066A45" w:rsidRPr="00532D29">
        <w:rPr>
          <w:rFonts w:ascii="Arial" w:eastAsia="Calibri" w:hAnsi="Arial" w:cs="Arial"/>
          <w:color w:val="004D7D"/>
          <w:sz w:val="42"/>
          <w:szCs w:val="42"/>
        </w:rPr>
        <w:t>. Handling and investigating disclosures</w:t>
      </w:r>
      <w:bookmarkEnd w:id="10"/>
    </w:p>
    <w:p w14:paraId="4BE264D8" w14:textId="149EC8A1" w:rsidR="7D066A45" w:rsidRPr="00532D29" w:rsidRDefault="7D066A45" w:rsidP="5FBC1E8D">
      <w:pPr>
        <w:pStyle w:val="Heading3"/>
        <w:rPr>
          <w:rFonts w:ascii="Arial" w:hAnsi="Arial" w:cs="Arial"/>
        </w:rPr>
      </w:pPr>
      <w:bookmarkStart w:id="11" w:name="_Toc151125744"/>
      <w:r w:rsidRPr="00532D29">
        <w:rPr>
          <w:rFonts w:ascii="Arial" w:eastAsia="Calibri" w:hAnsi="Arial" w:cs="Arial"/>
          <w:color w:val="004D7D"/>
          <w:sz w:val="36"/>
          <w:szCs w:val="36"/>
        </w:rPr>
        <w:t>Initial consideration and allocation</w:t>
      </w:r>
      <w:bookmarkEnd w:id="11"/>
    </w:p>
    <w:p w14:paraId="4B174DF5" w14:textId="709C92B5" w:rsidR="7D066A45" w:rsidRPr="00532D29" w:rsidRDefault="7D066A45" w:rsidP="005707A1">
      <w:pPr>
        <w:pStyle w:val="ListParagraph"/>
        <w:numPr>
          <w:ilvl w:val="0"/>
          <w:numId w:val="21"/>
        </w:numPr>
        <w:spacing w:after="0"/>
        <w:rPr>
          <w:rFonts w:ascii="Arial" w:eastAsia="Calibri" w:hAnsi="Arial" w:cs="Arial"/>
          <w:color w:val="565A66"/>
          <w:sz w:val="26"/>
          <w:szCs w:val="26"/>
        </w:rPr>
      </w:pPr>
      <w:r w:rsidRPr="00532D29">
        <w:rPr>
          <w:rFonts w:ascii="Arial" w:eastAsia="Calibri" w:hAnsi="Arial" w:cs="Arial"/>
          <w:color w:val="565A66"/>
          <w:sz w:val="26"/>
          <w:szCs w:val="26"/>
        </w:rPr>
        <w:t>Managers and supervisors receiving disclosures should refer the disclosure to an Authorised Officer as soon as practicable and without delay.</w:t>
      </w:r>
    </w:p>
    <w:p w14:paraId="197C4010" w14:textId="77777777" w:rsidR="00AD22FF" w:rsidRPr="00532D29" w:rsidRDefault="00AD22FF" w:rsidP="00973990">
      <w:pPr>
        <w:pStyle w:val="ListParagraph"/>
        <w:spacing w:after="0"/>
        <w:rPr>
          <w:rFonts w:ascii="Arial" w:eastAsia="Calibri" w:hAnsi="Arial" w:cs="Arial"/>
          <w:color w:val="565A66"/>
          <w:sz w:val="26"/>
          <w:szCs w:val="26"/>
        </w:rPr>
      </w:pPr>
    </w:p>
    <w:p w14:paraId="5BA10278" w14:textId="17184784" w:rsidR="7D066A45" w:rsidRPr="00532D29" w:rsidRDefault="7D066A45" w:rsidP="005707A1">
      <w:pPr>
        <w:pStyle w:val="ListParagraph"/>
        <w:numPr>
          <w:ilvl w:val="0"/>
          <w:numId w:val="21"/>
        </w:numPr>
        <w:spacing w:after="0"/>
        <w:rPr>
          <w:rFonts w:ascii="Arial" w:eastAsia="Calibri" w:hAnsi="Arial" w:cs="Arial"/>
          <w:color w:val="565A66"/>
          <w:sz w:val="26"/>
          <w:szCs w:val="26"/>
        </w:rPr>
      </w:pPr>
      <w:r w:rsidRPr="00532D29">
        <w:rPr>
          <w:rFonts w:ascii="Arial" w:eastAsia="Calibri" w:hAnsi="Arial" w:cs="Arial"/>
          <w:color w:val="565A66"/>
          <w:sz w:val="26"/>
          <w:szCs w:val="26"/>
        </w:rPr>
        <w:t>When an Authorised Officer receives a disclosure of information, he or she will consider the information disclosed and determine whether there are reasonable grounds on which to consider whether it constitutes an internal disclosure under the PID Act.</w:t>
      </w:r>
    </w:p>
    <w:p w14:paraId="32F9741C" w14:textId="77777777" w:rsidR="00AD22FF" w:rsidRPr="00532D29" w:rsidRDefault="00AD22FF" w:rsidP="00973990">
      <w:pPr>
        <w:pStyle w:val="ListParagraph"/>
        <w:spacing w:after="0"/>
        <w:rPr>
          <w:rFonts w:ascii="Arial" w:eastAsia="Calibri" w:hAnsi="Arial" w:cs="Arial"/>
          <w:color w:val="565A66"/>
          <w:sz w:val="26"/>
          <w:szCs w:val="26"/>
        </w:rPr>
      </w:pPr>
    </w:p>
    <w:p w14:paraId="1DCEF1C3" w14:textId="1F8F801F" w:rsidR="7D066A45" w:rsidRPr="00532D29" w:rsidRDefault="7D066A45" w:rsidP="005707A1">
      <w:pPr>
        <w:pStyle w:val="ListParagraph"/>
        <w:numPr>
          <w:ilvl w:val="0"/>
          <w:numId w:val="21"/>
        </w:numPr>
        <w:spacing w:after="0"/>
        <w:rPr>
          <w:rFonts w:ascii="Arial" w:eastAsia="Calibri" w:hAnsi="Arial" w:cs="Arial"/>
          <w:color w:val="565A66"/>
          <w:sz w:val="26"/>
          <w:szCs w:val="26"/>
        </w:rPr>
      </w:pPr>
      <w:r w:rsidRPr="00532D29">
        <w:rPr>
          <w:rFonts w:ascii="Arial" w:eastAsia="Calibri" w:hAnsi="Arial" w:cs="Arial"/>
          <w:color w:val="565A66"/>
          <w:sz w:val="26"/>
          <w:szCs w:val="26"/>
        </w:rPr>
        <w:t xml:space="preserve">If reasonable grounds exist to consider the disclosure a PID, the Authorised Officer must, within 14 days of becoming aware of the disclosure, allocate the matter to the </w:t>
      </w:r>
      <w:r w:rsidR="004B07EC" w:rsidRPr="00532D29">
        <w:rPr>
          <w:rFonts w:ascii="Arial" w:eastAsia="Calibri" w:hAnsi="Arial" w:cs="Arial"/>
          <w:color w:val="565A66"/>
          <w:sz w:val="26"/>
          <w:szCs w:val="26"/>
        </w:rPr>
        <w:t xml:space="preserve">Principal </w:t>
      </w:r>
      <w:r w:rsidR="005E6215" w:rsidRPr="00532D29">
        <w:rPr>
          <w:rFonts w:ascii="Arial" w:eastAsia="Calibri" w:hAnsi="Arial" w:cs="Arial"/>
          <w:color w:val="565A66"/>
          <w:sz w:val="26"/>
          <w:szCs w:val="26"/>
        </w:rPr>
        <w:t xml:space="preserve">Officer </w:t>
      </w:r>
      <w:r w:rsidRPr="00532D29">
        <w:rPr>
          <w:rFonts w:ascii="Arial" w:eastAsia="Calibri" w:hAnsi="Arial" w:cs="Arial"/>
          <w:color w:val="565A66"/>
          <w:sz w:val="26"/>
          <w:szCs w:val="26"/>
        </w:rPr>
        <w:t xml:space="preserve"> or to another agency which consents to the allocation, and inform the discloser in writing.</w:t>
      </w:r>
    </w:p>
    <w:p w14:paraId="3C5B42A5" w14:textId="77777777" w:rsidR="00AD22FF" w:rsidRPr="00532D29" w:rsidRDefault="00AD22FF" w:rsidP="00973990">
      <w:pPr>
        <w:pStyle w:val="ListParagraph"/>
        <w:spacing w:after="0"/>
        <w:rPr>
          <w:rFonts w:ascii="Arial" w:eastAsia="Calibri" w:hAnsi="Arial" w:cs="Arial"/>
          <w:color w:val="565A66"/>
          <w:sz w:val="26"/>
          <w:szCs w:val="26"/>
        </w:rPr>
      </w:pPr>
    </w:p>
    <w:p w14:paraId="3606F595" w14:textId="19325E60" w:rsidR="7D066A45" w:rsidRPr="00532D29" w:rsidRDefault="7D066A45" w:rsidP="005707A1">
      <w:pPr>
        <w:pStyle w:val="ListParagraph"/>
        <w:numPr>
          <w:ilvl w:val="0"/>
          <w:numId w:val="21"/>
        </w:numPr>
        <w:spacing w:after="0"/>
        <w:rPr>
          <w:rFonts w:ascii="Arial" w:eastAsia="Calibri" w:hAnsi="Arial" w:cs="Arial"/>
          <w:color w:val="565A66"/>
          <w:sz w:val="26"/>
          <w:szCs w:val="26"/>
        </w:rPr>
      </w:pPr>
      <w:r w:rsidRPr="00532D29">
        <w:rPr>
          <w:rFonts w:ascii="Arial" w:eastAsia="Calibri" w:hAnsi="Arial" w:cs="Arial"/>
          <w:color w:val="565A66"/>
          <w:sz w:val="26"/>
          <w:szCs w:val="26"/>
        </w:rPr>
        <w:t>If the disclosure is not considered to be a PID and it is reasonably practicable to contact the discloser, the Authorised Officer must inform the discloser in writing of the reasons for the decision and of any other course of action that may be available under other laws of the Commonwealth.</w:t>
      </w:r>
    </w:p>
    <w:p w14:paraId="739C2E69" w14:textId="77777777" w:rsidR="00AD22FF" w:rsidRPr="00532D29" w:rsidRDefault="00AD22FF" w:rsidP="00973990">
      <w:pPr>
        <w:pStyle w:val="ListParagraph"/>
        <w:spacing w:after="0"/>
        <w:rPr>
          <w:rFonts w:ascii="Arial" w:eastAsia="Calibri" w:hAnsi="Arial" w:cs="Arial"/>
          <w:color w:val="565A66"/>
          <w:sz w:val="26"/>
          <w:szCs w:val="26"/>
        </w:rPr>
      </w:pPr>
    </w:p>
    <w:p w14:paraId="1B67D08F" w14:textId="4E4DB366" w:rsidR="00030FC7" w:rsidRPr="00532D29" w:rsidRDefault="00030FC7" w:rsidP="005707A1">
      <w:pPr>
        <w:pStyle w:val="ListParagraph"/>
        <w:numPr>
          <w:ilvl w:val="0"/>
          <w:numId w:val="21"/>
        </w:numPr>
        <w:spacing w:after="0"/>
        <w:rPr>
          <w:rFonts w:ascii="Arial" w:eastAsia="Calibri" w:hAnsi="Arial" w:cs="Arial"/>
          <w:color w:val="565A66"/>
          <w:sz w:val="26"/>
          <w:szCs w:val="26"/>
        </w:rPr>
      </w:pPr>
      <w:r w:rsidRPr="00532D29">
        <w:rPr>
          <w:rFonts w:ascii="Arial" w:eastAsia="Calibri" w:hAnsi="Arial" w:cs="Arial"/>
          <w:color w:val="565A66"/>
          <w:sz w:val="26"/>
          <w:szCs w:val="26"/>
        </w:rPr>
        <w:t xml:space="preserve">If </w:t>
      </w:r>
      <w:r w:rsidR="00222291" w:rsidRPr="00532D29">
        <w:rPr>
          <w:rFonts w:ascii="Arial" w:eastAsia="Calibri" w:hAnsi="Arial" w:cs="Arial"/>
          <w:color w:val="565A66"/>
          <w:sz w:val="26"/>
          <w:szCs w:val="26"/>
        </w:rPr>
        <w:t>a stop action direction under the NACC Act prevents the Authorised Officer from allocating some or all of a disclosure</w:t>
      </w:r>
      <w:r w:rsidR="00DF6542" w:rsidRPr="00532D29">
        <w:rPr>
          <w:rFonts w:ascii="Arial" w:eastAsia="Calibri" w:hAnsi="Arial" w:cs="Arial"/>
          <w:color w:val="565A66"/>
          <w:sz w:val="26"/>
          <w:szCs w:val="26"/>
        </w:rPr>
        <w:t xml:space="preserve">, the Authorised Officer must </w:t>
      </w:r>
      <w:r w:rsidR="003E4B3F" w:rsidRPr="00532D29">
        <w:rPr>
          <w:rFonts w:ascii="Arial" w:eastAsia="Calibri" w:hAnsi="Arial" w:cs="Arial"/>
          <w:color w:val="565A66"/>
          <w:sz w:val="26"/>
          <w:szCs w:val="26"/>
        </w:rPr>
        <w:t>give written notice</w:t>
      </w:r>
      <w:r w:rsidR="00D7759C" w:rsidRPr="00532D29">
        <w:rPr>
          <w:rFonts w:ascii="Arial" w:eastAsia="Calibri" w:hAnsi="Arial" w:cs="Arial"/>
          <w:color w:val="565A66"/>
          <w:sz w:val="26"/>
          <w:szCs w:val="26"/>
        </w:rPr>
        <w:t xml:space="preserve"> as required under the PID Act</w:t>
      </w:r>
      <w:r w:rsidR="003B7F34" w:rsidRPr="00532D29">
        <w:rPr>
          <w:rFonts w:ascii="Arial" w:eastAsia="Calibri" w:hAnsi="Arial" w:cs="Arial"/>
          <w:color w:val="565A66"/>
          <w:sz w:val="26"/>
          <w:szCs w:val="26"/>
        </w:rPr>
        <w:t>.</w:t>
      </w:r>
    </w:p>
    <w:p w14:paraId="78B8CC9F" w14:textId="77777777" w:rsidR="00030FC7" w:rsidRPr="00532D29" w:rsidRDefault="00030FC7" w:rsidP="00973990">
      <w:pPr>
        <w:pStyle w:val="ListParagraph"/>
        <w:rPr>
          <w:rFonts w:ascii="Arial" w:eastAsia="Calibri" w:hAnsi="Arial" w:cs="Arial"/>
          <w:color w:val="565A66"/>
          <w:sz w:val="26"/>
          <w:szCs w:val="26"/>
        </w:rPr>
      </w:pPr>
    </w:p>
    <w:p w14:paraId="0A77657B" w14:textId="5F3550C0" w:rsidR="7D066A45" w:rsidRPr="00532D29" w:rsidRDefault="7D066A45" w:rsidP="005707A1">
      <w:pPr>
        <w:pStyle w:val="ListParagraph"/>
        <w:numPr>
          <w:ilvl w:val="0"/>
          <w:numId w:val="21"/>
        </w:numPr>
        <w:spacing w:after="0"/>
        <w:rPr>
          <w:rFonts w:ascii="Arial" w:eastAsia="Calibri" w:hAnsi="Arial" w:cs="Arial"/>
          <w:color w:val="565A66"/>
          <w:sz w:val="26"/>
          <w:szCs w:val="26"/>
        </w:rPr>
      </w:pPr>
      <w:r w:rsidRPr="00532D29">
        <w:rPr>
          <w:rFonts w:ascii="Arial" w:eastAsia="Calibri" w:hAnsi="Arial" w:cs="Arial"/>
          <w:color w:val="565A66"/>
          <w:sz w:val="26"/>
          <w:szCs w:val="26"/>
        </w:rPr>
        <w:t>If the disclosure relates to conduct that may need to be addressed under any other of TEQSA’s policies or procedures, the Authorised Officer should refer the matter to be dealt with accordingly.</w:t>
      </w:r>
    </w:p>
    <w:p w14:paraId="6DD60D04" w14:textId="77777777" w:rsidR="001B6CD7" w:rsidRPr="00532D29" w:rsidRDefault="001B6CD7" w:rsidP="00973990">
      <w:pPr>
        <w:pStyle w:val="ListParagraph"/>
        <w:spacing w:after="0"/>
        <w:rPr>
          <w:rFonts w:ascii="Arial" w:eastAsia="Calibri" w:hAnsi="Arial" w:cs="Arial"/>
          <w:color w:val="565A66"/>
          <w:sz w:val="26"/>
          <w:szCs w:val="26"/>
        </w:rPr>
      </w:pPr>
    </w:p>
    <w:p w14:paraId="2E0844F4" w14:textId="33841994" w:rsidR="7D066A45" w:rsidRPr="00532D29" w:rsidRDefault="7D066A45" w:rsidP="005707A1">
      <w:pPr>
        <w:pStyle w:val="ListParagraph"/>
        <w:numPr>
          <w:ilvl w:val="0"/>
          <w:numId w:val="21"/>
        </w:numPr>
        <w:spacing w:after="0"/>
        <w:rPr>
          <w:rFonts w:ascii="Arial" w:eastAsia="Calibri" w:hAnsi="Arial" w:cs="Arial"/>
          <w:color w:val="565A66"/>
          <w:sz w:val="26"/>
          <w:szCs w:val="26"/>
        </w:rPr>
      </w:pPr>
      <w:r w:rsidRPr="00532D29">
        <w:rPr>
          <w:rFonts w:ascii="Arial" w:eastAsia="Calibri" w:hAnsi="Arial" w:cs="Arial"/>
          <w:color w:val="565A66"/>
          <w:sz w:val="26"/>
          <w:szCs w:val="26"/>
        </w:rPr>
        <w:t>The Authorised Officer must keep a record of:</w:t>
      </w:r>
    </w:p>
    <w:p w14:paraId="5245ADB7" w14:textId="5F32F50F" w:rsidR="7D066A45" w:rsidRPr="00532D29" w:rsidRDefault="000539CD" w:rsidP="5FBC1E8D">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 xml:space="preserve">a </w:t>
      </w:r>
      <w:r w:rsidR="7D066A45" w:rsidRPr="00532D29">
        <w:rPr>
          <w:rFonts w:ascii="Arial" w:eastAsia="Calibri" w:hAnsi="Arial" w:cs="Arial"/>
          <w:color w:val="565A66"/>
          <w:sz w:val="26"/>
          <w:szCs w:val="26"/>
        </w:rPr>
        <w:t>decision to allocate</w:t>
      </w:r>
      <w:r w:rsidR="00735A5F" w:rsidRPr="00532D29">
        <w:rPr>
          <w:rFonts w:ascii="Arial" w:eastAsia="Calibri" w:hAnsi="Arial" w:cs="Arial"/>
          <w:color w:val="565A66"/>
          <w:sz w:val="26"/>
          <w:szCs w:val="26"/>
        </w:rPr>
        <w:t xml:space="preserve"> (or reallocate)</w:t>
      </w:r>
      <w:r w:rsidR="7D066A45" w:rsidRPr="00532D29">
        <w:rPr>
          <w:rFonts w:ascii="Arial" w:eastAsia="Calibri" w:hAnsi="Arial" w:cs="Arial"/>
          <w:color w:val="565A66"/>
          <w:sz w:val="26"/>
          <w:szCs w:val="26"/>
        </w:rPr>
        <w:t xml:space="preserve"> the disclosure including the name of the agency to which the disclosure has been allocated (if outside TEQSA), the consent given by the outside agency, and the reasons for the decision</w:t>
      </w:r>
    </w:p>
    <w:p w14:paraId="29A238B6" w14:textId="680A72FC" w:rsidR="00DA2F69" w:rsidRPr="00532D29" w:rsidRDefault="00DA2F69" w:rsidP="5FBC1E8D">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a decision not to allocate the disclosure and the reasons for the decision</w:t>
      </w:r>
    </w:p>
    <w:p w14:paraId="3338AAD3" w14:textId="0C8B40C8" w:rsidR="0069468D" w:rsidRPr="00532D29" w:rsidRDefault="00D46751" w:rsidP="00516883">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 xml:space="preserve">if </w:t>
      </w:r>
      <w:r w:rsidR="0069468D" w:rsidRPr="00532D29">
        <w:rPr>
          <w:rFonts w:ascii="Arial" w:eastAsia="Calibri" w:hAnsi="Arial" w:cs="Arial"/>
          <w:color w:val="565A66"/>
          <w:sz w:val="26"/>
          <w:szCs w:val="26"/>
        </w:rPr>
        <w:t xml:space="preserve">a stop action direction </w:t>
      </w:r>
      <w:r w:rsidRPr="00532D29">
        <w:rPr>
          <w:rFonts w:ascii="Arial" w:eastAsia="Calibri" w:hAnsi="Arial" w:cs="Arial"/>
          <w:color w:val="565A66"/>
          <w:sz w:val="26"/>
          <w:szCs w:val="26"/>
        </w:rPr>
        <w:t xml:space="preserve">under the NACC Act is made that prevents the allocation of a disclosure </w:t>
      </w:r>
      <w:r w:rsidR="009665B8" w:rsidRPr="00532D29">
        <w:rPr>
          <w:rFonts w:ascii="Arial" w:eastAsia="Calibri" w:hAnsi="Arial" w:cs="Arial"/>
          <w:color w:val="565A66"/>
          <w:sz w:val="26"/>
          <w:szCs w:val="26"/>
        </w:rPr>
        <w:t>to TEQSA or another agency</w:t>
      </w:r>
      <w:r w:rsidR="00516883" w:rsidRPr="00532D29">
        <w:rPr>
          <w:rFonts w:ascii="Arial" w:eastAsia="Calibri" w:hAnsi="Arial" w:cs="Arial"/>
          <w:color w:val="565A66"/>
          <w:sz w:val="26"/>
          <w:szCs w:val="26"/>
        </w:rPr>
        <w:t xml:space="preserve">, </w:t>
      </w:r>
      <w:r w:rsidR="009665B8" w:rsidRPr="00532D29">
        <w:rPr>
          <w:rFonts w:ascii="Arial" w:eastAsia="Calibri" w:hAnsi="Arial" w:cs="Arial"/>
          <w:color w:val="565A66"/>
          <w:sz w:val="26"/>
          <w:szCs w:val="26"/>
        </w:rPr>
        <w:t xml:space="preserve">details of the </w:t>
      </w:r>
      <w:r w:rsidR="009665B8" w:rsidRPr="00532D29">
        <w:rPr>
          <w:rFonts w:ascii="Arial" w:eastAsia="Calibri" w:hAnsi="Arial" w:cs="Arial"/>
          <w:color w:val="565A66"/>
          <w:sz w:val="26"/>
          <w:szCs w:val="26"/>
        </w:rPr>
        <w:lastRenderedPageBreak/>
        <w:t>direction, including when the direction was made and when the stop action direction no longer applies</w:t>
      </w:r>
      <w:r w:rsidRPr="00532D29">
        <w:rPr>
          <w:rFonts w:ascii="Arial" w:eastAsia="Calibri" w:hAnsi="Arial" w:cs="Arial"/>
          <w:color w:val="565A66"/>
          <w:sz w:val="26"/>
          <w:szCs w:val="26"/>
        </w:rPr>
        <w:t xml:space="preserve"> </w:t>
      </w:r>
    </w:p>
    <w:p w14:paraId="36D60548" w14:textId="6554979F" w:rsidR="000D7E23" w:rsidRPr="00532D29" w:rsidRDefault="005A4589" w:rsidP="5FBC1E8D">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 xml:space="preserve">if </w:t>
      </w:r>
      <w:r w:rsidR="009042E1" w:rsidRPr="00532D29">
        <w:rPr>
          <w:rFonts w:ascii="Arial" w:eastAsia="Calibri" w:hAnsi="Arial" w:cs="Arial"/>
          <w:color w:val="565A66"/>
          <w:sz w:val="26"/>
          <w:szCs w:val="26"/>
        </w:rPr>
        <w:t>notice</w:t>
      </w:r>
      <w:r w:rsidR="00A4126B" w:rsidRPr="00532D29">
        <w:rPr>
          <w:rFonts w:ascii="Arial" w:eastAsia="Calibri" w:hAnsi="Arial" w:cs="Arial"/>
          <w:color w:val="565A66"/>
          <w:sz w:val="26"/>
          <w:szCs w:val="26"/>
        </w:rPr>
        <w:t xml:space="preserve"> </w:t>
      </w:r>
      <w:r w:rsidR="000155AD" w:rsidRPr="00532D29">
        <w:rPr>
          <w:rFonts w:ascii="Arial" w:eastAsia="Calibri" w:hAnsi="Arial" w:cs="Arial"/>
          <w:color w:val="565A66"/>
          <w:sz w:val="26"/>
          <w:szCs w:val="26"/>
        </w:rPr>
        <w:t xml:space="preserve">of </w:t>
      </w:r>
      <w:r w:rsidR="000822FF" w:rsidRPr="00532D29">
        <w:rPr>
          <w:rFonts w:ascii="Arial" w:eastAsia="Calibri" w:hAnsi="Arial" w:cs="Arial"/>
          <w:color w:val="565A66"/>
          <w:sz w:val="26"/>
          <w:szCs w:val="26"/>
        </w:rPr>
        <w:t>either</w:t>
      </w:r>
      <w:r w:rsidR="00701D05" w:rsidRPr="00532D29">
        <w:rPr>
          <w:rFonts w:ascii="Arial" w:eastAsia="Calibri" w:hAnsi="Arial" w:cs="Arial"/>
          <w:color w:val="565A66"/>
          <w:sz w:val="26"/>
          <w:szCs w:val="26"/>
        </w:rPr>
        <w:t>: (a)</w:t>
      </w:r>
      <w:r w:rsidR="006A0A24" w:rsidRPr="00532D29">
        <w:rPr>
          <w:rFonts w:ascii="Arial" w:eastAsia="Calibri" w:hAnsi="Arial" w:cs="Arial"/>
          <w:color w:val="565A66"/>
          <w:sz w:val="26"/>
          <w:szCs w:val="26"/>
        </w:rPr>
        <w:t xml:space="preserve"> </w:t>
      </w:r>
      <w:r w:rsidRPr="00532D29">
        <w:rPr>
          <w:rFonts w:ascii="Arial" w:eastAsia="Calibri" w:hAnsi="Arial" w:cs="Arial"/>
          <w:color w:val="565A66"/>
          <w:sz w:val="26"/>
          <w:szCs w:val="26"/>
        </w:rPr>
        <w:t xml:space="preserve">a </w:t>
      </w:r>
      <w:r w:rsidR="00967AF8" w:rsidRPr="00532D29">
        <w:rPr>
          <w:rFonts w:ascii="Arial" w:eastAsia="Calibri" w:hAnsi="Arial" w:cs="Arial"/>
          <w:color w:val="565A66"/>
          <w:sz w:val="26"/>
          <w:szCs w:val="26"/>
        </w:rPr>
        <w:t>decision to allocate a disclosure</w:t>
      </w:r>
      <w:r w:rsidR="0041365E" w:rsidRPr="00532D29">
        <w:rPr>
          <w:rFonts w:ascii="Arial" w:eastAsia="Calibri" w:hAnsi="Arial" w:cs="Arial"/>
          <w:color w:val="565A66"/>
          <w:sz w:val="26"/>
          <w:szCs w:val="26"/>
        </w:rPr>
        <w:t xml:space="preserve"> to TEQSA or any other agency</w:t>
      </w:r>
      <w:r w:rsidR="00967AF8" w:rsidRPr="00532D29">
        <w:rPr>
          <w:rFonts w:ascii="Arial" w:eastAsia="Calibri" w:hAnsi="Arial" w:cs="Arial"/>
          <w:color w:val="565A66"/>
          <w:sz w:val="26"/>
          <w:szCs w:val="26"/>
        </w:rPr>
        <w:t>,</w:t>
      </w:r>
      <w:r w:rsidR="00701D05" w:rsidRPr="00532D29">
        <w:rPr>
          <w:rFonts w:ascii="Arial" w:eastAsia="Calibri" w:hAnsi="Arial" w:cs="Arial"/>
          <w:color w:val="565A66"/>
          <w:sz w:val="26"/>
          <w:szCs w:val="26"/>
        </w:rPr>
        <w:t xml:space="preserve"> (b)</w:t>
      </w:r>
      <w:r w:rsidR="00967AF8" w:rsidRPr="00532D29">
        <w:rPr>
          <w:rFonts w:ascii="Arial" w:eastAsia="Calibri" w:hAnsi="Arial" w:cs="Arial"/>
          <w:color w:val="565A66"/>
          <w:sz w:val="26"/>
          <w:szCs w:val="26"/>
        </w:rPr>
        <w:t xml:space="preserve"> </w:t>
      </w:r>
      <w:r w:rsidR="006A0A24" w:rsidRPr="00532D29">
        <w:rPr>
          <w:rFonts w:ascii="Arial" w:eastAsia="Calibri" w:hAnsi="Arial" w:cs="Arial"/>
          <w:color w:val="565A66"/>
          <w:sz w:val="26"/>
          <w:szCs w:val="26"/>
        </w:rPr>
        <w:t xml:space="preserve">a decision </w:t>
      </w:r>
      <w:r w:rsidR="0041365E" w:rsidRPr="00532D29">
        <w:rPr>
          <w:rFonts w:ascii="Arial" w:eastAsia="Calibri" w:hAnsi="Arial" w:cs="Arial"/>
          <w:color w:val="565A66"/>
          <w:sz w:val="26"/>
          <w:szCs w:val="26"/>
        </w:rPr>
        <w:t>not to allocate the disclosure to TEQSA or any other agency</w:t>
      </w:r>
      <w:r w:rsidR="00D05BF2" w:rsidRPr="00532D29">
        <w:rPr>
          <w:rFonts w:ascii="Arial" w:eastAsia="Calibri" w:hAnsi="Arial" w:cs="Arial"/>
          <w:color w:val="565A66"/>
          <w:sz w:val="26"/>
          <w:szCs w:val="26"/>
        </w:rPr>
        <w:t xml:space="preserve"> or </w:t>
      </w:r>
      <w:r w:rsidR="00701D05" w:rsidRPr="00532D29">
        <w:rPr>
          <w:rFonts w:ascii="Arial" w:eastAsia="Calibri" w:hAnsi="Arial" w:cs="Arial"/>
          <w:color w:val="565A66"/>
          <w:sz w:val="26"/>
          <w:szCs w:val="26"/>
        </w:rPr>
        <w:t>(c)</w:t>
      </w:r>
      <w:r w:rsidR="00701D05" w:rsidRPr="00532D29">
        <w:rPr>
          <w:rFonts w:ascii="Arial" w:hAnsi="Arial" w:cs="Arial"/>
          <w:color w:val="000000"/>
          <w:sz w:val="26"/>
          <w:szCs w:val="26"/>
          <w:shd w:val="clear" w:color="auto" w:fill="FFFFFF"/>
        </w:rPr>
        <w:t xml:space="preserve"> a stop action direction under the NACC Act preventing an authorised officer of the relevant agency from allocating some or all of a disclosure</w:t>
      </w:r>
      <w:r w:rsidR="005D4F7B" w:rsidRPr="00532D29">
        <w:rPr>
          <w:rFonts w:ascii="Arial" w:eastAsia="Calibri" w:hAnsi="Arial" w:cs="Arial"/>
          <w:color w:val="565A66"/>
          <w:sz w:val="26"/>
          <w:szCs w:val="26"/>
        </w:rPr>
        <w:t xml:space="preserve"> </w:t>
      </w:r>
      <w:r w:rsidR="00D05BF2" w:rsidRPr="00532D29">
        <w:rPr>
          <w:rFonts w:ascii="Arial" w:eastAsia="Calibri" w:hAnsi="Arial" w:cs="Arial"/>
          <w:color w:val="565A66"/>
          <w:sz w:val="26"/>
          <w:szCs w:val="26"/>
        </w:rPr>
        <w:t>is</w:t>
      </w:r>
      <w:r w:rsidR="008D4B08" w:rsidRPr="00532D29">
        <w:rPr>
          <w:rFonts w:ascii="Arial" w:eastAsia="Calibri" w:hAnsi="Arial" w:cs="Arial"/>
          <w:color w:val="565A66"/>
          <w:sz w:val="26"/>
          <w:szCs w:val="26"/>
        </w:rPr>
        <w:t xml:space="preserve"> </w:t>
      </w:r>
      <w:r w:rsidR="006A0A24" w:rsidRPr="00532D29">
        <w:rPr>
          <w:rFonts w:ascii="Arial" w:eastAsia="Calibri" w:hAnsi="Arial" w:cs="Arial"/>
          <w:color w:val="565A66"/>
          <w:sz w:val="26"/>
          <w:szCs w:val="26"/>
        </w:rPr>
        <w:t>given</w:t>
      </w:r>
      <w:r w:rsidR="007E011B" w:rsidRPr="00532D29">
        <w:rPr>
          <w:rFonts w:ascii="Arial" w:eastAsia="Calibri" w:hAnsi="Arial" w:cs="Arial"/>
          <w:color w:val="565A66"/>
          <w:sz w:val="26"/>
          <w:szCs w:val="26"/>
        </w:rPr>
        <w:t xml:space="preserve"> by an Authorised Officer</w:t>
      </w:r>
      <w:r w:rsidR="00E823DF" w:rsidRPr="00532D29">
        <w:rPr>
          <w:rFonts w:ascii="Arial" w:eastAsia="Calibri" w:hAnsi="Arial" w:cs="Arial"/>
          <w:color w:val="565A66"/>
          <w:sz w:val="26"/>
          <w:szCs w:val="26"/>
        </w:rPr>
        <w:t xml:space="preserve"> </w:t>
      </w:r>
      <w:r w:rsidR="00A4126B" w:rsidRPr="00532D29">
        <w:rPr>
          <w:rFonts w:ascii="Arial" w:eastAsia="Calibri" w:hAnsi="Arial" w:cs="Arial"/>
          <w:color w:val="565A66"/>
          <w:sz w:val="26"/>
          <w:szCs w:val="26"/>
        </w:rPr>
        <w:t>under the PID Act</w:t>
      </w:r>
    </w:p>
    <w:p w14:paraId="12BA315A" w14:textId="513001DD" w:rsidR="005E112C" w:rsidRPr="00532D29" w:rsidRDefault="005E112C" w:rsidP="000D7E23">
      <w:pPr>
        <w:pStyle w:val="ListParagraph"/>
        <w:numPr>
          <w:ilvl w:val="1"/>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 xml:space="preserve">whether </w:t>
      </w:r>
      <w:r w:rsidR="0052023D" w:rsidRPr="00532D29">
        <w:rPr>
          <w:rFonts w:ascii="Arial" w:eastAsia="Calibri" w:hAnsi="Arial" w:cs="Arial"/>
          <w:color w:val="565A66"/>
          <w:sz w:val="26"/>
          <w:szCs w:val="26"/>
        </w:rPr>
        <w:t>the</w:t>
      </w:r>
      <w:r w:rsidR="00952088" w:rsidRPr="00532D29">
        <w:rPr>
          <w:rFonts w:ascii="Arial" w:eastAsia="Calibri" w:hAnsi="Arial" w:cs="Arial"/>
          <w:color w:val="565A66"/>
          <w:sz w:val="26"/>
          <w:szCs w:val="26"/>
        </w:rPr>
        <w:t xml:space="preserve"> notice (or a copy of the notice) was given </w:t>
      </w:r>
      <w:r w:rsidR="0087478B" w:rsidRPr="00532D29">
        <w:rPr>
          <w:rFonts w:ascii="Arial" w:eastAsia="Calibri" w:hAnsi="Arial" w:cs="Arial"/>
          <w:color w:val="565A66"/>
          <w:sz w:val="26"/>
          <w:szCs w:val="26"/>
        </w:rPr>
        <w:t>to the</w:t>
      </w:r>
      <w:r w:rsidR="0052023D" w:rsidRPr="00532D29">
        <w:rPr>
          <w:rFonts w:ascii="Arial" w:eastAsia="Calibri" w:hAnsi="Arial" w:cs="Arial"/>
          <w:color w:val="565A66"/>
          <w:sz w:val="26"/>
          <w:szCs w:val="26"/>
        </w:rPr>
        <w:t xml:space="preserve"> discloser</w:t>
      </w:r>
      <w:r w:rsidR="0087478B" w:rsidRPr="00532D29">
        <w:rPr>
          <w:rFonts w:ascii="Arial" w:eastAsia="Calibri" w:hAnsi="Arial" w:cs="Arial"/>
          <w:color w:val="565A66"/>
          <w:sz w:val="26"/>
          <w:szCs w:val="26"/>
        </w:rPr>
        <w:t>, and if not, why not,</w:t>
      </w:r>
      <w:r w:rsidR="0052023D" w:rsidRPr="00532D29">
        <w:rPr>
          <w:rFonts w:ascii="Arial" w:eastAsia="Calibri" w:hAnsi="Arial" w:cs="Arial"/>
          <w:color w:val="565A66"/>
          <w:sz w:val="26"/>
          <w:szCs w:val="26"/>
        </w:rPr>
        <w:t xml:space="preserve">  </w:t>
      </w:r>
    </w:p>
    <w:p w14:paraId="51BEF3F7" w14:textId="77777777" w:rsidR="00DC7096" w:rsidRPr="00532D29" w:rsidRDefault="008D4B08" w:rsidP="000D7E23">
      <w:pPr>
        <w:pStyle w:val="ListParagraph"/>
        <w:numPr>
          <w:ilvl w:val="1"/>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 xml:space="preserve">for any notice </w:t>
      </w:r>
      <w:r w:rsidR="00DC7096" w:rsidRPr="00532D29">
        <w:rPr>
          <w:rFonts w:ascii="Arial" w:eastAsia="Calibri" w:hAnsi="Arial" w:cs="Arial"/>
          <w:color w:val="565A66"/>
          <w:sz w:val="26"/>
          <w:szCs w:val="26"/>
        </w:rPr>
        <w:t xml:space="preserve">(or a copy of the notice) </w:t>
      </w:r>
      <w:r w:rsidRPr="00532D29">
        <w:rPr>
          <w:rFonts w:ascii="Arial" w:eastAsia="Calibri" w:hAnsi="Arial" w:cs="Arial"/>
          <w:color w:val="565A66"/>
          <w:sz w:val="26"/>
          <w:szCs w:val="26"/>
        </w:rPr>
        <w:t>given</w:t>
      </w:r>
      <w:r w:rsidR="00DC7096" w:rsidRPr="00532D29">
        <w:rPr>
          <w:rFonts w:ascii="Arial" w:eastAsia="Calibri" w:hAnsi="Arial" w:cs="Arial"/>
          <w:color w:val="565A66"/>
          <w:sz w:val="26"/>
          <w:szCs w:val="26"/>
        </w:rPr>
        <w:t xml:space="preserve"> to the discloser:</w:t>
      </w:r>
    </w:p>
    <w:p w14:paraId="741EF591" w14:textId="77777777" w:rsidR="002D21AA" w:rsidRPr="00532D29" w:rsidRDefault="00EB1EAF" w:rsidP="0034303E">
      <w:pPr>
        <w:pStyle w:val="ListParagraph"/>
        <w:numPr>
          <w:ilvl w:val="2"/>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the day and time the notice (or copy) was given to the discloser</w:t>
      </w:r>
      <w:r w:rsidR="002D21AA" w:rsidRPr="00532D29">
        <w:rPr>
          <w:rFonts w:ascii="Arial" w:eastAsia="Calibri" w:hAnsi="Arial" w:cs="Arial"/>
          <w:color w:val="565A66"/>
          <w:sz w:val="26"/>
          <w:szCs w:val="26"/>
        </w:rPr>
        <w:t>,</w:t>
      </w:r>
    </w:p>
    <w:p w14:paraId="069E29D9" w14:textId="77777777" w:rsidR="002D21AA" w:rsidRPr="00532D29" w:rsidRDefault="002D21AA" w:rsidP="0034303E">
      <w:pPr>
        <w:pStyle w:val="ListParagraph"/>
        <w:numPr>
          <w:ilvl w:val="2"/>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the means by which the notice (or copy) was given to the discloser,</w:t>
      </w:r>
    </w:p>
    <w:p w14:paraId="2CB7D6BE" w14:textId="77777777" w:rsidR="002D21AA" w:rsidRPr="00532D29" w:rsidRDefault="002D21AA" w:rsidP="0034303E">
      <w:pPr>
        <w:pStyle w:val="ListParagraph"/>
        <w:numPr>
          <w:ilvl w:val="2"/>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the matters included in the notice</w:t>
      </w:r>
    </w:p>
    <w:p w14:paraId="2EA1CC0F" w14:textId="5FFAE28E" w:rsidR="0034303E" w:rsidRPr="00532D29" w:rsidRDefault="002D21AA" w:rsidP="00973990">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in the case of a notice of a stop-action direction</w:t>
      </w:r>
      <w:r w:rsidR="00E97AD2" w:rsidRPr="00532D29">
        <w:rPr>
          <w:rFonts w:ascii="Arial" w:eastAsia="Calibri" w:hAnsi="Arial" w:cs="Arial"/>
          <w:color w:val="565A66"/>
          <w:sz w:val="26"/>
          <w:szCs w:val="26"/>
        </w:rPr>
        <w:t>, whether TEQSA’s Principal Officer considers that it is reasonably practicable or appropriate for the discloser to be given a copy of the notice.</w:t>
      </w:r>
    </w:p>
    <w:p w14:paraId="14EAA666" w14:textId="77777777" w:rsidR="00C801B2" w:rsidRPr="00532D29" w:rsidRDefault="00C801B2" w:rsidP="00C801B2">
      <w:pPr>
        <w:pStyle w:val="ListParagraph"/>
        <w:spacing w:after="0"/>
        <w:ind w:left="1080"/>
        <w:rPr>
          <w:rFonts w:ascii="Arial" w:eastAsia="Calibri" w:hAnsi="Arial" w:cs="Arial"/>
          <w:color w:val="565A66"/>
          <w:sz w:val="26"/>
          <w:szCs w:val="26"/>
        </w:rPr>
      </w:pPr>
    </w:p>
    <w:p w14:paraId="064A8A67" w14:textId="51B69761" w:rsidR="7D066A45" w:rsidRPr="00532D29" w:rsidRDefault="7D066A45" w:rsidP="5FBC1E8D">
      <w:pPr>
        <w:pStyle w:val="Heading3"/>
        <w:rPr>
          <w:rFonts w:ascii="Arial" w:hAnsi="Arial" w:cs="Arial"/>
        </w:rPr>
      </w:pPr>
      <w:bookmarkStart w:id="12" w:name="_Toc151125745"/>
      <w:r w:rsidRPr="00532D29">
        <w:rPr>
          <w:rFonts w:ascii="Arial" w:eastAsia="Calibri" w:hAnsi="Arial" w:cs="Arial"/>
          <w:color w:val="004D7D"/>
          <w:sz w:val="36"/>
          <w:szCs w:val="36"/>
        </w:rPr>
        <w:t>Reprisal risk assessment</w:t>
      </w:r>
      <w:bookmarkEnd w:id="12"/>
    </w:p>
    <w:p w14:paraId="76494C0C" w14:textId="112D169F"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As soon as possible after a disclosure has been received, the Authorised Officer must conduct a reprisal risk assessment to identify the possible risks of reprisals against the discloser and others including any person whom others might think is the discloser, the discloser’s supervisor and key witnesses.</w:t>
      </w:r>
    </w:p>
    <w:p w14:paraId="22319571" w14:textId="77777777" w:rsidR="00AD22FF" w:rsidRPr="00532D29" w:rsidRDefault="00AD22FF" w:rsidP="00973990">
      <w:pPr>
        <w:pStyle w:val="ListParagraph"/>
        <w:rPr>
          <w:rFonts w:ascii="Arial" w:hAnsi="Arial" w:cs="Arial"/>
        </w:rPr>
      </w:pPr>
    </w:p>
    <w:p w14:paraId="0F2D52ED" w14:textId="7E7323CE"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A ‘reprisal’ occurs if someone causes, by an act or omission, any detriment to another person because they believe or suspect that person, or anyone else, may have made or intends to make a public interest disclosure. 'Detriment' includes any disadvantage to a person, including dismissal, injury in their employment, discrimination between them and other employees or alteration of their position to their disadvantage. For example, it could include an action (or threat of action) that results in:</w:t>
      </w:r>
    </w:p>
    <w:p w14:paraId="557E525E" w14:textId="2375E552" w:rsidR="7D066A45" w:rsidRPr="00532D29" w:rsidRDefault="7D066A45" w:rsidP="00520BF3">
      <w:pPr>
        <w:pStyle w:val="ListParagraph"/>
        <w:numPr>
          <w:ilvl w:val="0"/>
          <w:numId w:val="12"/>
        </w:numPr>
        <w:spacing w:after="0"/>
        <w:rPr>
          <w:rFonts w:ascii="Arial" w:eastAsia="Calibri" w:hAnsi="Arial" w:cs="Arial"/>
          <w:color w:val="565A66"/>
          <w:sz w:val="26"/>
          <w:szCs w:val="26"/>
        </w:rPr>
      </w:pPr>
      <w:r w:rsidRPr="00532D29">
        <w:rPr>
          <w:rFonts w:ascii="Arial" w:eastAsia="Calibri" w:hAnsi="Arial" w:cs="Arial"/>
          <w:color w:val="565A66"/>
          <w:sz w:val="26"/>
          <w:szCs w:val="26"/>
        </w:rPr>
        <w:t>a physical or psychological injury, including a stress-related injury</w:t>
      </w:r>
    </w:p>
    <w:p w14:paraId="24E9C6AE" w14:textId="333CC2F2" w:rsidR="7D066A45" w:rsidRPr="00532D29" w:rsidRDefault="7D066A45" w:rsidP="00520BF3">
      <w:pPr>
        <w:pStyle w:val="ListParagraph"/>
        <w:numPr>
          <w:ilvl w:val="0"/>
          <w:numId w:val="12"/>
        </w:numPr>
        <w:spacing w:after="0"/>
        <w:rPr>
          <w:rFonts w:ascii="Arial" w:eastAsia="Calibri" w:hAnsi="Arial" w:cs="Arial"/>
          <w:color w:val="565A66"/>
          <w:sz w:val="26"/>
          <w:szCs w:val="26"/>
        </w:rPr>
      </w:pPr>
      <w:r w:rsidRPr="00532D29">
        <w:rPr>
          <w:rFonts w:ascii="Arial" w:eastAsia="Calibri" w:hAnsi="Arial" w:cs="Arial"/>
          <w:color w:val="565A66"/>
          <w:sz w:val="26"/>
          <w:szCs w:val="26"/>
        </w:rPr>
        <w:t>intimidation, harassment or victimisation</w:t>
      </w:r>
    </w:p>
    <w:p w14:paraId="79BAC75A" w14:textId="13DA59F6" w:rsidR="7D066A45" w:rsidRPr="00532D29" w:rsidRDefault="7D066A45" w:rsidP="00520BF3">
      <w:pPr>
        <w:pStyle w:val="ListParagraph"/>
        <w:numPr>
          <w:ilvl w:val="0"/>
          <w:numId w:val="12"/>
        </w:numPr>
        <w:spacing w:after="0"/>
        <w:rPr>
          <w:rFonts w:ascii="Arial" w:eastAsia="Calibri" w:hAnsi="Arial" w:cs="Arial"/>
          <w:color w:val="565A66"/>
          <w:sz w:val="26"/>
          <w:szCs w:val="26"/>
        </w:rPr>
      </w:pPr>
      <w:r w:rsidRPr="00532D29">
        <w:rPr>
          <w:rFonts w:ascii="Arial" w:eastAsia="Calibri" w:hAnsi="Arial" w:cs="Arial"/>
          <w:color w:val="565A66"/>
          <w:sz w:val="26"/>
          <w:szCs w:val="26"/>
        </w:rPr>
        <w:t>loss or damage to property</w:t>
      </w:r>
    </w:p>
    <w:p w14:paraId="711E9D9B" w14:textId="11DFB62B" w:rsidR="7D066A45" w:rsidRPr="00532D29" w:rsidRDefault="7D066A45" w:rsidP="00520BF3">
      <w:pPr>
        <w:pStyle w:val="ListParagraph"/>
        <w:numPr>
          <w:ilvl w:val="0"/>
          <w:numId w:val="12"/>
        </w:numPr>
        <w:spacing w:after="0"/>
        <w:rPr>
          <w:rFonts w:ascii="Arial" w:eastAsia="Calibri" w:hAnsi="Arial" w:cs="Arial"/>
          <w:color w:val="565A66"/>
          <w:sz w:val="26"/>
          <w:szCs w:val="26"/>
        </w:rPr>
      </w:pPr>
      <w:r w:rsidRPr="00532D29">
        <w:rPr>
          <w:rFonts w:ascii="Arial" w:eastAsia="Calibri" w:hAnsi="Arial" w:cs="Arial"/>
          <w:color w:val="565A66"/>
          <w:sz w:val="26"/>
          <w:szCs w:val="26"/>
        </w:rPr>
        <w:t>disadvantage to a person's career (for example, denying them a reference or a promotion without appropriate reasons).</w:t>
      </w:r>
    </w:p>
    <w:p w14:paraId="6AB960CC" w14:textId="77777777" w:rsidR="00AD22FF" w:rsidRPr="00532D29" w:rsidRDefault="00AD22FF" w:rsidP="00973990">
      <w:pPr>
        <w:pStyle w:val="ListParagraph"/>
        <w:rPr>
          <w:rFonts w:ascii="Arial" w:hAnsi="Arial" w:cs="Arial"/>
        </w:rPr>
      </w:pPr>
    </w:p>
    <w:p w14:paraId="05525828" w14:textId="53010F6B"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The assessment must consider the specific behaviour and circumstances that may result in reprisals, which will include not only the risk of direct reprisal against the discloser, but also the risk of related workplace conflict or difficulties. In conducting the reprisal risk assessment, the Authorised Officer makes enquiries about the risk of reprisal or workplace conflict by talking with the discloser and any others who may be potentially at risk and observing interactions in the workplace.</w:t>
      </w:r>
    </w:p>
    <w:p w14:paraId="1C18B56F" w14:textId="77777777" w:rsidR="00AD22FF" w:rsidRPr="00532D29" w:rsidRDefault="00AD22FF" w:rsidP="00973990">
      <w:pPr>
        <w:pStyle w:val="ListParagraph"/>
        <w:rPr>
          <w:rFonts w:ascii="Arial" w:hAnsi="Arial" w:cs="Arial"/>
        </w:rPr>
      </w:pPr>
    </w:p>
    <w:p w14:paraId="1EA89A4C" w14:textId="3B6490ED"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Criteria to use include but are not limited to:</w:t>
      </w:r>
    </w:p>
    <w:p w14:paraId="0B5EB3B9" w14:textId="3D6943B0" w:rsidR="7D066A45" w:rsidRPr="00532D29" w:rsidRDefault="7D066A45" w:rsidP="00AD22FF">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subject matter and significance of the issue disclosed and likely outcome if the facts are substantiated</w:t>
      </w:r>
    </w:p>
    <w:p w14:paraId="0DCF240D" w14:textId="16CFE72C" w:rsidR="7D066A45" w:rsidRPr="00532D29" w:rsidRDefault="7D066A45" w:rsidP="00AD22FF">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how many people implicated in the PID</w:t>
      </w:r>
    </w:p>
    <w:p w14:paraId="1451B1FE" w14:textId="0079848F" w:rsidR="7D066A45" w:rsidRPr="00532D29" w:rsidRDefault="7D066A45" w:rsidP="00AD22FF">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if the alleged wrongdoing directed at the discloser</w:t>
      </w:r>
    </w:p>
    <w:p w14:paraId="40E1E711" w14:textId="67CBAEBC" w:rsidR="7D066A45" w:rsidRPr="00532D29" w:rsidRDefault="7D066A45" w:rsidP="00AD22FF">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likelihood of discloser identification</w:t>
      </w:r>
    </w:p>
    <w:p w14:paraId="10410A6F" w14:textId="46163C51" w:rsidR="7D066A45" w:rsidRPr="00532D29" w:rsidRDefault="7D066A45" w:rsidP="00AD22FF">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history of conflict between discloser and subject(s) of PID and specific threats</w:t>
      </w:r>
    </w:p>
    <w:p w14:paraId="1391AB41" w14:textId="2A14F736" w:rsidR="7D066A45" w:rsidRPr="00532D29" w:rsidRDefault="7D066A45" w:rsidP="00AD22FF">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who knows about the disclosure</w:t>
      </w:r>
    </w:p>
    <w:p w14:paraId="310A2BDB" w14:textId="73C0262B" w:rsidR="7D066A45" w:rsidRPr="00532D29" w:rsidRDefault="7D066A45" w:rsidP="00AD22FF">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culture of the workplace.</w:t>
      </w:r>
    </w:p>
    <w:p w14:paraId="2144B6BD" w14:textId="77777777" w:rsidR="00AD22FF" w:rsidRPr="00532D29" w:rsidRDefault="00AD22FF" w:rsidP="00973990">
      <w:pPr>
        <w:pStyle w:val="ListParagraph"/>
        <w:rPr>
          <w:rFonts w:ascii="Arial" w:hAnsi="Arial" w:cs="Arial"/>
        </w:rPr>
      </w:pPr>
    </w:p>
    <w:p w14:paraId="4EFDC339" w14:textId="77A8C970"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Where the reprisal risk is rated more than low, a risk mitigation strategy should be developed, involving:</w:t>
      </w:r>
    </w:p>
    <w:p w14:paraId="16174C10" w14:textId="5E8A0500" w:rsidR="7D066A45" w:rsidRPr="00532D29" w:rsidRDefault="7D066A45" w:rsidP="5FBC1E8D">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regular communication with the discloser to monitor their wellbeing</w:t>
      </w:r>
    </w:p>
    <w:p w14:paraId="71EF0E9A" w14:textId="0ADDCE97" w:rsidR="7D066A45" w:rsidRPr="00532D29" w:rsidRDefault="7D066A45" w:rsidP="5FBC1E8D">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appropriate harm minimisation steps such as nominating a support person for the discloser</w:t>
      </w:r>
    </w:p>
    <w:p w14:paraId="42127EAE" w14:textId="0B7CF1D1" w:rsidR="7D066A45" w:rsidRPr="00532D29" w:rsidRDefault="7D066A45" w:rsidP="5FBC1E8D">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continual monitoring and reassessment of risk and application of additional support and mitigation when required, such as when key witnesses are interviewed.</w:t>
      </w:r>
    </w:p>
    <w:p w14:paraId="123BE430" w14:textId="77777777" w:rsidR="00283287" w:rsidRPr="00532D29" w:rsidRDefault="00283287" w:rsidP="5FBC1E8D">
      <w:pPr>
        <w:pStyle w:val="Heading3"/>
        <w:rPr>
          <w:rFonts w:ascii="Arial" w:eastAsia="Calibri" w:hAnsi="Arial" w:cs="Arial"/>
          <w:color w:val="004D7D"/>
          <w:sz w:val="36"/>
          <w:szCs w:val="36"/>
        </w:rPr>
      </w:pPr>
    </w:p>
    <w:p w14:paraId="28206776" w14:textId="04C84641" w:rsidR="7D066A45" w:rsidRPr="00532D29" w:rsidRDefault="7D066A45" w:rsidP="5FBC1E8D">
      <w:pPr>
        <w:pStyle w:val="Heading3"/>
        <w:rPr>
          <w:rFonts w:ascii="Arial" w:hAnsi="Arial" w:cs="Arial"/>
        </w:rPr>
      </w:pPr>
      <w:bookmarkStart w:id="13" w:name="_Toc151125746"/>
      <w:r w:rsidRPr="00532D29">
        <w:rPr>
          <w:rFonts w:ascii="Arial" w:eastAsia="Calibri" w:hAnsi="Arial" w:cs="Arial"/>
          <w:color w:val="004D7D"/>
          <w:sz w:val="36"/>
          <w:szCs w:val="36"/>
        </w:rPr>
        <w:t>Protection and support for disclosers</w:t>
      </w:r>
      <w:bookmarkEnd w:id="13"/>
    </w:p>
    <w:p w14:paraId="08A6B757" w14:textId="4195BE37"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The PID Act provides the following protections for persons who make an internal PID:</w:t>
      </w:r>
    </w:p>
    <w:p w14:paraId="154D47F3" w14:textId="45D9148A" w:rsidR="7D066A45" w:rsidRPr="00532D29" w:rsidRDefault="7D066A45" w:rsidP="5FBC1E8D">
      <w:pPr>
        <w:pStyle w:val="ListParagraph"/>
        <w:numPr>
          <w:ilvl w:val="0"/>
          <w:numId w:val="1"/>
        </w:numPr>
        <w:spacing w:after="0"/>
        <w:rPr>
          <w:rFonts w:ascii="Arial" w:eastAsia="Calibri" w:hAnsi="Arial" w:cs="Arial"/>
          <w:color w:val="565A66"/>
          <w:sz w:val="26"/>
          <w:szCs w:val="26"/>
        </w:rPr>
      </w:pPr>
      <w:r w:rsidRPr="00532D29">
        <w:rPr>
          <w:rFonts w:ascii="Arial" w:eastAsia="Calibri" w:hAnsi="Arial" w:cs="Arial"/>
          <w:color w:val="565A66"/>
          <w:sz w:val="26"/>
          <w:szCs w:val="26"/>
        </w:rPr>
        <w:t>protection of the discloser's identity</w:t>
      </w:r>
    </w:p>
    <w:p w14:paraId="16EAECE6" w14:textId="08A4B927" w:rsidR="7D066A45" w:rsidRPr="00532D29" w:rsidRDefault="7D066A45" w:rsidP="5FBC1E8D">
      <w:pPr>
        <w:pStyle w:val="ListParagraph"/>
        <w:numPr>
          <w:ilvl w:val="0"/>
          <w:numId w:val="1"/>
        </w:numPr>
        <w:spacing w:after="0"/>
        <w:rPr>
          <w:rFonts w:ascii="Arial" w:eastAsia="Calibri" w:hAnsi="Arial" w:cs="Arial"/>
          <w:color w:val="565A66"/>
          <w:sz w:val="26"/>
          <w:szCs w:val="26"/>
        </w:rPr>
      </w:pPr>
      <w:r w:rsidRPr="00532D29">
        <w:rPr>
          <w:rFonts w:ascii="Arial" w:eastAsia="Calibri" w:hAnsi="Arial" w:cs="Arial"/>
          <w:color w:val="565A66"/>
          <w:sz w:val="26"/>
          <w:szCs w:val="26"/>
        </w:rPr>
        <w:t>immunity from civil, criminal or administrative liability</w:t>
      </w:r>
    </w:p>
    <w:p w14:paraId="0F9567D0" w14:textId="0D5A77AC" w:rsidR="7D066A45" w:rsidRPr="00532D29" w:rsidRDefault="7D066A45" w:rsidP="5FBC1E8D">
      <w:pPr>
        <w:pStyle w:val="ListParagraph"/>
        <w:numPr>
          <w:ilvl w:val="0"/>
          <w:numId w:val="1"/>
        </w:numPr>
        <w:spacing w:after="0"/>
        <w:rPr>
          <w:rFonts w:ascii="Arial" w:eastAsia="Calibri" w:hAnsi="Arial" w:cs="Arial"/>
          <w:color w:val="565A66"/>
          <w:sz w:val="26"/>
          <w:szCs w:val="26"/>
        </w:rPr>
      </w:pPr>
      <w:r w:rsidRPr="00532D29">
        <w:rPr>
          <w:rFonts w:ascii="Arial" w:eastAsia="Calibri" w:hAnsi="Arial" w:cs="Arial"/>
          <w:color w:val="565A66"/>
          <w:sz w:val="26"/>
          <w:szCs w:val="26"/>
        </w:rPr>
        <w:t>protection from reprisal.</w:t>
      </w:r>
    </w:p>
    <w:p w14:paraId="59321656" w14:textId="1140B618" w:rsidR="5FBC1E8D" w:rsidRPr="00532D29" w:rsidRDefault="5FBC1E8D" w:rsidP="5FBC1E8D">
      <w:pPr>
        <w:rPr>
          <w:rFonts w:ascii="Arial" w:eastAsia="Calibri" w:hAnsi="Arial" w:cs="Arial"/>
          <w:color w:val="565A66"/>
          <w:sz w:val="26"/>
          <w:szCs w:val="26"/>
        </w:rPr>
      </w:pPr>
    </w:p>
    <w:p w14:paraId="0CA07C00" w14:textId="5426A2E8" w:rsidR="7D066A45" w:rsidRPr="00532D29" w:rsidRDefault="7D066A45" w:rsidP="005707A1">
      <w:pPr>
        <w:pStyle w:val="ListParagraph"/>
        <w:numPr>
          <w:ilvl w:val="0"/>
          <w:numId w:val="21"/>
        </w:numPr>
        <w:rPr>
          <w:rFonts w:ascii="Arial" w:eastAsia="Calibri" w:hAnsi="Arial" w:cs="Arial"/>
          <w:color w:val="565A66"/>
          <w:sz w:val="26"/>
          <w:szCs w:val="26"/>
        </w:rPr>
      </w:pPr>
      <w:r w:rsidRPr="00532D29">
        <w:rPr>
          <w:rFonts w:ascii="Arial" w:eastAsia="Calibri" w:hAnsi="Arial" w:cs="Arial"/>
          <w:color w:val="565A66"/>
          <w:sz w:val="26"/>
          <w:szCs w:val="26"/>
        </w:rPr>
        <w:lastRenderedPageBreak/>
        <w:t>These protections do not necessarily protect the discloser in relation to their own wrongdoing, including where they have been involved in the misconduct they are reporting.</w:t>
      </w:r>
    </w:p>
    <w:p w14:paraId="6E04D8C6" w14:textId="77777777" w:rsidR="00AD22FF" w:rsidRPr="00532D29" w:rsidRDefault="00AD22FF" w:rsidP="00973990">
      <w:pPr>
        <w:pStyle w:val="ListParagraph"/>
        <w:rPr>
          <w:rFonts w:ascii="Arial" w:hAnsi="Arial" w:cs="Arial"/>
        </w:rPr>
      </w:pPr>
    </w:p>
    <w:p w14:paraId="2DCE15AF" w14:textId="7FECC135"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Authorised Officers should inform disclosers that</w:t>
      </w:r>
      <w:r w:rsidR="00BD5F84" w:rsidRPr="00532D29">
        <w:rPr>
          <w:rFonts w:ascii="Arial" w:eastAsia="Calibri" w:hAnsi="Arial" w:cs="Arial"/>
          <w:color w:val="565A66"/>
          <w:sz w:val="26"/>
          <w:szCs w:val="26"/>
        </w:rPr>
        <w:t>, unless the</w:t>
      </w:r>
      <w:r w:rsidR="00B65F90" w:rsidRPr="00532D29">
        <w:rPr>
          <w:rFonts w:ascii="Arial" w:eastAsia="Calibri" w:hAnsi="Arial" w:cs="Arial"/>
          <w:color w:val="565A66"/>
          <w:sz w:val="26"/>
          <w:szCs w:val="26"/>
        </w:rPr>
        <w:t xml:space="preserve"> PID Act applies to provide otherwise,</w:t>
      </w:r>
      <w:r w:rsidR="00BD5F84" w:rsidRPr="00532D29">
        <w:rPr>
          <w:rFonts w:ascii="Arial" w:eastAsia="Calibri" w:hAnsi="Arial" w:cs="Arial"/>
          <w:color w:val="565A66"/>
          <w:sz w:val="26"/>
          <w:szCs w:val="26"/>
        </w:rPr>
        <w:t xml:space="preserve"> </w:t>
      </w:r>
      <w:r w:rsidRPr="00532D29">
        <w:rPr>
          <w:rFonts w:ascii="Arial" w:eastAsia="Calibri" w:hAnsi="Arial" w:cs="Arial"/>
          <w:color w:val="565A66"/>
          <w:sz w:val="26"/>
          <w:szCs w:val="26"/>
        </w:rPr>
        <w:t>they must:</w:t>
      </w:r>
    </w:p>
    <w:p w14:paraId="7BD03F96" w14:textId="01D1F270" w:rsidR="7D066A45" w:rsidRPr="00532D29" w:rsidRDefault="7D066A45" w:rsidP="5FBC1E8D">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be discreet about the fact that they have made a PID and about the contents of the disclosure, to ensure that they retain the protections in the PID Act</w:t>
      </w:r>
    </w:p>
    <w:p w14:paraId="250145B5" w14:textId="338970B2" w:rsidR="7D066A45" w:rsidRPr="00532D29" w:rsidRDefault="007672D1" w:rsidP="003A6E43">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 xml:space="preserve">not </w:t>
      </w:r>
      <w:r w:rsidR="7D066A45" w:rsidRPr="00532D29">
        <w:rPr>
          <w:rFonts w:ascii="Arial" w:eastAsia="Calibri" w:hAnsi="Arial" w:cs="Arial"/>
          <w:color w:val="565A66"/>
          <w:sz w:val="26"/>
          <w:szCs w:val="26"/>
        </w:rPr>
        <w:t>disclose any confidential information about the PID, including information that would identify those alleged to have committed wrongdoing or other information that they have a duty to keep confidential.</w:t>
      </w:r>
    </w:p>
    <w:p w14:paraId="0C7525E4" w14:textId="77777777" w:rsidR="00AD22FF" w:rsidRPr="00532D29" w:rsidRDefault="00AD22FF" w:rsidP="00973990">
      <w:pPr>
        <w:pStyle w:val="ListParagraph"/>
        <w:rPr>
          <w:rFonts w:ascii="Arial" w:hAnsi="Arial" w:cs="Arial"/>
        </w:rPr>
      </w:pPr>
    </w:p>
    <w:p w14:paraId="48B6A24C" w14:textId="7C776BF2"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TEQSA will take steps to support those who make public interest disclosures, including by:</w:t>
      </w:r>
    </w:p>
    <w:p w14:paraId="15E14FBE" w14:textId="6F85DA38" w:rsidR="7D066A45" w:rsidRPr="00532D29" w:rsidRDefault="7D066A45" w:rsidP="00973990">
      <w:pPr>
        <w:pStyle w:val="ListParagraph"/>
        <w:numPr>
          <w:ilvl w:val="0"/>
          <w:numId w:val="13"/>
        </w:numPr>
        <w:spacing w:after="0"/>
        <w:ind w:left="1077" w:hanging="357"/>
        <w:rPr>
          <w:rFonts w:ascii="Arial" w:eastAsia="Calibri" w:hAnsi="Arial" w:cs="Arial"/>
          <w:color w:val="565A66"/>
          <w:sz w:val="26"/>
          <w:szCs w:val="26"/>
        </w:rPr>
      </w:pPr>
      <w:r w:rsidRPr="00532D29">
        <w:rPr>
          <w:rFonts w:ascii="Arial" w:eastAsia="Calibri" w:hAnsi="Arial" w:cs="Arial"/>
          <w:color w:val="565A66"/>
          <w:sz w:val="26"/>
          <w:szCs w:val="26"/>
        </w:rPr>
        <w:t>acknowledging that making the PID was the right thing to do and is valued</w:t>
      </w:r>
    </w:p>
    <w:p w14:paraId="3546EC41" w14:textId="7CF144BF" w:rsidR="7D066A45" w:rsidRPr="00532D29" w:rsidRDefault="7D066A45" w:rsidP="00520BF3">
      <w:pPr>
        <w:pStyle w:val="ListParagraph"/>
        <w:numPr>
          <w:ilvl w:val="0"/>
          <w:numId w:val="13"/>
        </w:numPr>
        <w:spacing w:after="0"/>
        <w:rPr>
          <w:rFonts w:ascii="Arial" w:eastAsia="Calibri" w:hAnsi="Arial" w:cs="Arial"/>
          <w:color w:val="565A66"/>
          <w:sz w:val="26"/>
          <w:szCs w:val="26"/>
        </w:rPr>
      </w:pPr>
      <w:r w:rsidRPr="00532D29">
        <w:rPr>
          <w:rFonts w:ascii="Arial" w:eastAsia="Calibri" w:hAnsi="Arial" w:cs="Arial"/>
          <w:color w:val="565A66"/>
          <w:sz w:val="26"/>
          <w:szCs w:val="26"/>
        </w:rPr>
        <w:t>taking all reasonable steps necessary to protect the discloser and their identity</w:t>
      </w:r>
    </w:p>
    <w:p w14:paraId="5630B342" w14:textId="4CFFE9F2" w:rsidR="7D066A45" w:rsidRPr="00532D29" w:rsidRDefault="7D066A45" w:rsidP="00520BF3">
      <w:pPr>
        <w:pStyle w:val="ListParagraph"/>
        <w:numPr>
          <w:ilvl w:val="0"/>
          <w:numId w:val="13"/>
        </w:numPr>
        <w:spacing w:after="0"/>
        <w:rPr>
          <w:rFonts w:ascii="Arial" w:eastAsia="Calibri" w:hAnsi="Arial" w:cs="Arial"/>
          <w:color w:val="565A66"/>
          <w:sz w:val="26"/>
          <w:szCs w:val="26"/>
        </w:rPr>
      </w:pPr>
      <w:r w:rsidRPr="00532D29">
        <w:rPr>
          <w:rFonts w:ascii="Arial" w:eastAsia="Calibri" w:hAnsi="Arial" w:cs="Arial"/>
          <w:color w:val="565A66"/>
          <w:sz w:val="26"/>
          <w:szCs w:val="26"/>
        </w:rPr>
        <w:t>appointing a support person to check on the discloser’s wellbeing</w:t>
      </w:r>
    </w:p>
    <w:p w14:paraId="6F193D1D" w14:textId="1D505275" w:rsidR="7D066A45" w:rsidRPr="00532D29" w:rsidRDefault="7D066A45" w:rsidP="00520BF3">
      <w:pPr>
        <w:pStyle w:val="ListParagraph"/>
        <w:numPr>
          <w:ilvl w:val="0"/>
          <w:numId w:val="13"/>
        </w:numPr>
        <w:spacing w:after="0"/>
        <w:rPr>
          <w:rFonts w:ascii="Arial" w:eastAsia="Calibri" w:hAnsi="Arial" w:cs="Arial"/>
          <w:color w:val="565A66"/>
          <w:sz w:val="26"/>
          <w:szCs w:val="26"/>
        </w:rPr>
      </w:pPr>
      <w:r w:rsidRPr="00532D29">
        <w:rPr>
          <w:rFonts w:ascii="Arial" w:eastAsia="Calibri" w:hAnsi="Arial" w:cs="Arial"/>
          <w:color w:val="565A66"/>
          <w:sz w:val="26"/>
          <w:szCs w:val="26"/>
        </w:rPr>
        <w:t>providing information about the progress and outcome of any investigation</w:t>
      </w:r>
    </w:p>
    <w:p w14:paraId="48A092BC" w14:textId="7B0B7DCD" w:rsidR="7D066A45" w:rsidRPr="00532D29" w:rsidRDefault="7D066A45" w:rsidP="00520BF3">
      <w:pPr>
        <w:pStyle w:val="ListParagraph"/>
        <w:numPr>
          <w:ilvl w:val="0"/>
          <w:numId w:val="13"/>
        </w:numPr>
        <w:spacing w:after="0"/>
        <w:rPr>
          <w:rFonts w:ascii="Arial" w:eastAsia="Calibri" w:hAnsi="Arial" w:cs="Arial"/>
          <w:color w:val="565A66"/>
          <w:sz w:val="26"/>
          <w:szCs w:val="26"/>
        </w:rPr>
      </w:pPr>
      <w:r w:rsidRPr="00532D29">
        <w:rPr>
          <w:rFonts w:ascii="Arial" w:eastAsia="Calibri" w:hAnsi="Arial" w:cs="Arial"/>
          <w:color w:val="565A66"/>
          <w:sz w:val="26"/>
          <w:szCs w:val="26"/>
        </w:rPr>
        <w:t>providing information about and access to the Employee Assistance Program.</w:t>
      </w:r>
    </w:p>
    <w:p w14:paraId="013CC1F9" w14:textId="77777777" w:rsidR="00283287" w:rsidRPr="00532D29" w:rsidRDefault="00283287" w:rsidP="5FBC1E8D">
      <w:pPr>
        <w:pStyle w:val="Heading3"/>
        <w:rPr>
          <w:rFonts w:ascii="Arial" w:eastAsia="Calibri" w:hAnsi="Arial" w:cs="Arial"/>
          <w:color w:val="004D7D"/>
          <w:sz w:val="36"/>
          <w:szCs w:val="36"/>
        </w:rPr>
      </w:pPr>
    </w:p>
    <w:p w14:paraId="6D2CDC01" w14:textId="1BCF7809" w:rsidR="7D066A45" w:rsidRPr="00532D29" w:rsidRDefault="7D066A45" w:rsidP="5FBC1E8D">
      <w:pPr>
        <w:pStyle w:val="Heading3"/>
        <w:rPr>
          <w:rFonts w:ascii="Arial" w:hAnsi="Arial" w:cs="Arial"/>
        </w:rPr>
      </w:pPr>
      <w:bookmarkStart w:id="14" w:name="_Toc151125747"/>
      <w:r w:rsidRPr="00532D29">
        <w:rPr>
          <w:rFonts w:ascii="Arial" w:eastAsia="Calibri" w:hAnsi="Arial" w:cs="Arial"/>
          <w:color w:val="004D7D"/>
          <w:sz w:val="36"/>
          <w:szCs w:val="36"/>
        </w:rPr>
        <w:t>Consideration and investigation</w:t>
      </w:r>
      <w:bookmarkEnd w:id="14"/>
    </w:p>
    <w:p w14:paraId="01E06D35" w14:textId="5287A69A" w:rsidR="003B4AF5" w:rsidRPr="00532D29" w:rsidRDefault="003B4AF5" w:rsidP="005707A1">
      <w:pPr>
        <w:pStyle w:val="ListParagraph"/>
        <w:numPr>
          <w:ilvl w:val="0"/>
          <w:numId w:val="21"/>
        </w:numPr>
        <w:rPr>
          <w:rFonts w:ascii="Arial" w:eastAsia="Calibri" w:hAnsi="Arial" w:cs="Arial"/>
          <w:color w:val="565A66"/>
          <w:sz w:val="26"/>
          <w:szCs w:val="26"/>
        </w:rPr>
      </w:pPr>
      <w:r w:rsidRPr="00532D29">
        <w:rPr>
          <w:rFonts w:ascii="Arial" w:hAnsi="Arial" w:cs="Arial"/>
          <w:sz w:val="26"/>
          <w:szCs w:val="26"/>
        </w:rPr>
        <w:t xml:space="preserve">The Principal Officer is responsible for considering PIDs that are allocated to TEQSA by an Authorised Officer. </w:t>
      </w:r>
    </w:p>
    <w:p w14:paraId="2F4F4851" w14:textId="77777777" w:rsidR="003B4AF5" w:rsidRPr="00532D29" w:rsidRDefault="003B4AF5" w:rsidP="00973990">
      <w:pPr>
        <w:pStyle w:val="ListParagraph"/>
        <w:rPr>
          <w:rFonts w:ascii="Arial" w:eastAsia="Calibri" w:hAnsi="Arial" w:cs="Arial"/>
          <w:color w:val="565A66"/>
          <w:sz w:val="26"/>
          <w:szCs w:val="26"/>
        </w:rPr>
      </w:pPr>
    </w:p>
    <w:p w14:paraId="649A07DC" w14:textId="77777777" w:rsidR="003B4AF5" w:rsidRPr="00532D29" w:rsidRDefault="003B4AF5" w:rsidP="005707A1">
      <w:pPr>
        <w:pStyle w:val="ListParagraph"/>
        <w:numPr>
          <w:ilvl w:val="0"/>
          <w:numId w:val="21"/>
        </w:numPr>
        <w:rPr>
          <w:rFonts w:ascii="Arial" w:eastAsia="Calibri" w:hAnsi="Arial" w:cs="Arial"/>
          <w:color w:val="565A66"/>
          <w:sz w:val="26"/>
          <w:szCs w:val="26"/>
        </w:rPr>
      </w:pPr>
      <w:r w:rsidRPr="00532D29">
        <w:rPr>
          <w:rFonts w:ascii="Arial" w:hAnsi="Arial" w:cs="Arial"/>
          <w:sz w:val="26"/>
          <w:szCs w:val="26"/>
        </w:rPr>
        <w:t xml:space="preserve">The following steps must be taken in performing this function: </w:t>
      </w:r>
    </w:p>
    <w:p w14:paraId="1C05FB39" w14:textId="390F4A8C" w:rsidR="00082588" w:rsidRPr="00532D29" w:rsidRDefault="003B4AF5" w:rsidP="005707A1">
      <w:pPr>
        <w:pStyle w:val="ListParagraph"/>
        <w:numPr>
          <w:ilvl w:val="1"/>
          <w:numId w:val="39"/>
        </w:numPr>
        <w:ind w:left="1077" w:hanging="357"/>
        <w:rPr>
          <w:rFonts w:ascii="Arial" w:eastAsia="Calibri" w:hAnsi="Arial" w:cs="Arial"/>
          <w:color w:val="565A66"/>
          <w:sz w:val="26"/>
          <w:szCs w:val="26"/>
        </w:rPr>
      </w:pPr>
      <w:r w:rsidRPr="00532D29">
        <w:rPr>
          <w:rFonts w:ascii="Arial" w:eastAsia="Calibri" w:hAnsi="Arial" w:cs="Arial"/>
          <w:color w:val="565A66"/>
          <w:sz w:val="26"/>
          <w:szCs w:val="26"/>
        </w:rPr>
        <w:t>notify</w:t>
      </w:r>
      <w:r w:rsidR="00B6432C" w:rsidRPr="00532D29">
        <w:rPr>
          <w:rFonts w:ascii="Arial" w:eastAsia="Calibri" w:hAnsi="Arial" w:cs="Arial"/>
          <w:color w:val="565A66"/>
          <w:sz w:val="26"/>
          <w:szCs w:val="26"/>
        </w:rPr>
        <w:t xml:space="preserve"> </w:t>
      </w:r>
      <w:r w:rsidRPr="00532D29">
        <w:rPr>
          <w:rFonts w:ascii="Arial" w:eastAsia="Calibri" w:hAnsi="Arial" w:cs="Arial"/>
          <w:color w:val="565A66"/>
          <w:sz w:val="26"/>
          <w:szCs w:val="26"/>
        </w:rPr>
        <w:t>the discloser of the allocation</w:t>
      </w:r>
      <w:r w:rsidR="002453CE" w:rsidRPr="00532D29">
        <w:rPr>
          <w:rFonts w:ascii="Arial" w:eastAsia="Calibri" w:hAnsi="Arial" w:cs="Arial"/>
          <w:color w:val="565A66"/>
          <w:sz w:val="26"/>
          <w:szCs w:val="26"/>
        </w:rPr>
        <w:t xml:space="preserve"> </w:t>
      </w:r>
      <w:r w:rsidR="00082588" w:rsidRPr="00532D29">
        <w:rPr>
          <w:rFonts w:ascii="Arial" w:eastAsia="Calibri" w:hAnsi="Arial" w:cs="Arial"/>
          <w:color w:val="565A66"/>
          <w:sz w:val="26"/>
          <w:szCs w:val="26"/>
        </w:rPr>
        <w:t>(as soon as reasonably practicable and usually within 14 days)</w:t>
      </w:r>
      <w:r w:rsidRPr="00532D29">
        <w:rPr>
          <w:rFonts w:ascii="Arial" w:eastAsia="Calibri" w:hAnsi="Arial" w:cs="Arial"/>
          <w:color w:val="565A66"/>
          <w:sz w:val="26"/>
          <w:szCs w:val="26"/>
        </w:rPr>
        <w:t>;</w:t>
      </w:r>
    </w:p>
    <w:p w14:paraId="7166F6E1" w14:textId="7A9E5BF4" w:rsidR="00286A2A" w:rsidRPr="00532D29" w:rsidRDefault="002D252D" w:rsidP="00973990">
      <w:pPr>
        <w:pStyle w:val="ListParagraph"/>
        <w:numPr>
          <w:ilvl w:val="0"/>
          <w:numId w:val="36"/>
        </w:numPr>
        <w:rPr>
          <w:rFonts w:ascii="Arial" w:eastAsia="Calibri" w:hAnsi="Arial" w:cs="Arial"/>
          <w:color w:val="565A66"/>
          <w:sz w:val="26"/>
          <w:szCs w:val="26"/>
        </w:rPr>
      </w:pPr>
      <w:r w:rsidRPr="00532D29">
        <w:rPr>
          <w:rFonts w:ascii="Arial" w:eastAsia="Calibri" w:hAnsi="Arial" w:cs="Arial"/>
          <w:color w:val="565A66"/>
          <w:sz w:val="26"/>
          <w:szCs w:val="26"/>
        </w:rPr>
        <w:t>the notice must</w:t>
      </w:r>
      <w:r w:rsidR="00F442E8" w:rsidRPr="00532D29">
        <w:rPr>
          <w:rFonts w:ascii="Arial" w:eastAsia="Calibri" w:hAnsi="Arial" w:cs="Arial"/>
          <w:color w:val="565A66"/>
          <w:sz w:val="26"/>
          <w:szCs w:val="26"/>
        </w:rPr>
        <w:t xml:space="preserve"> </w:t>
      </w:r>
      <w:r w:rsidRPr="00532D29">
        <w:rPr>
          <w:rFonts w:ascii="Arial" w:eastAsia="Calibri" w:hAnsi="Arial" w:cs="Arial"/>
          <w:color w:val="565A66"/>
          <w:sz w:val="26"/>
          <w:szCs w:val="26"/>
        </w:rPr>
        <w:t xml:space="preserve">inform the discloser of the options available to the </w:t>
      </w:r>
      <w:r w:rsidR="00F442E8" w:rsidRPr="00532D29">
        <w:rPr>
          <w:rFonts w:ascii="Arial" w:eastAsia="Calibri" w:hAnsi="Arial" w:cs="Arial"/>
          <w:color w:val="565A66"/>
          <w:sz w:val="26"/>
          <w:szCs w:val="26"/>
        </w:rPr>
        <w:t>Principal Officer</w:t>
      </w:r>
      <w:r w:rsidR="0077681C" w:rsidRPr="00532D29">
        <w:rPr>
          <w:rFonts w:ascii="Arial" w:eastAsia="Calibri" w:hAnsi="Arial" w:cs="Arial"/>
          <w:color w:val="565A66"/>
          <w:sz w:val="26"/>
          <w:szCs w:val="26"/>
        </w:rPr>
        <w:t xml:space="preserve"> considering their PID, namely</w:t>
      </w:r>
      <w:r w:rsidR="007A110E" w:rsidRPr="00532D29">
        <w:rPr>
          <w:rFonts w:ascii="Arial" w:eastAsia="Calibri" w:hAnsi="Arial" w:cs="Arial"/>
          <w:color w:val="565A66"/>
          <w:sz w:val="26"/>
          <w:szCs w:val="26"/>
        </w:rPr>
        <w:t xml:space="preserve"> to</w:t>
      </w:r>
      <w:r w:rsidR="0077681C" w:rsidRPr="00532D29">
        <w:rPr>
          <w:rFonts w:ascii="Arial" w:eastAsia="Calibri" w:hAnsi="Arial" w:cs="Arial"/>
          <w:color w:val="565A66"/>
          <w:sz w:val="26"/>
          <w:szCs w:val="26"/>
        </w:rPr>
        <w:t>: (a) decide not to investigate the PID further</w:t>
      </w:r>
      <w:r w:rsidR="007A110E" w:rsidRPr="00532D29">
        <w:rPr>
          <w:rFonts w:ascii="Arial" w:eastAsia="Calibri" w:hAnsi="Arial" w:cs="Arial"/>
          <w:color w:val="565A66"/>
          <w:sz w:val="26"/>
          <w:szCs w:val="26"/>
        </w:rPr>
        <w:t>, or (b) decide to investigate the PID under a separate investigatory power</w:t>
      </w:r>
      <w:r w:rsidR="001F142E" w:rsidRPr="00532D29">
        <w:rPr>
          <w:rFonts w:ascii="Arial" w:eastAsia="Calibri" w:hAnsi="Arial" w:cs="Arial"/>
          <w:color w:val="565A66"/>
          <w:sz w:val="26"/>
          <w:szCs w:val="26"/>
        </w:rPr>
        <w:t>, or (c) decide to investigate the disclosure under another law or power or (d) decide to investigate the PID</w:t>
      </w:r>
      <w:r w:rsidR="007960BA" w:rsidRPr="00532D29">
        <w:rPr>
          <w:rFonts w:ascii="Arial" w:eastAsia="Calibri" w:hAnsi="Arial" w:cs="Arial"/>
          <w:color w:val="565A66"/>
          <w:sz w:val="26"/>
          <w:szCs w:val="26"/>
        </w:rPr>
        <w:t>.</w:t>
      </w:r>
      <w:r w:rsidR="003B4AF5" w:rsidRPr="00532D29">
        <w:rPr>
          <w:rFonts w:ascii="Arial" w:eastAsia="Calibri" w:hAnsi="Arial" w:cs="Arial"/>
          <w:color w:val="565A66"/>
          <w:sz w:val="26"/>
          <w:szCs w:val="26"/>
        </w:rPr>
        <w:t xml:space="preserve"> </w:t>
      </w:r>
    </w:p>
    <w:p w14:paraId="763151C9" w14:textId="77777777" w:rsidR="00434E08" w:rsidRPr="00532D29" w:rsidRDefault="00434E08" w:rsidP="00434E08">
      <w:pPr>
        <w:pStyle w:val="ListParagraph"/>
        <w:ind w:left="1077"/>
        <w:rPr>
          <w:rFonts w:ascii="Arial" w:eastAsia="Calibri" w:hAnsi="Arial" w:cs="Arial"/>
          <w:color w:val="565A66"/>
          <w:sz w:val="26"/>
          <w:szCs w:val="26"/>
        </w:rPr>
      </w:pPr>
    </w:p>
    <w:p w14:paraId="6D827506" w14:textId="46B0581E" w:rsidR="009C5ABA" w:rsidRPr="00532D29" w:rsidRDefault="003B4AF5" w:rsidP="005707A1">
      <w:pPr>
        <w:pStyle w:val="ListParagraph"/>
        <w:numPr>
          <w:ilvl w:val="1"/>
          <w:numId w:val="39"/>
        </w:numPr>
        <w:ind w:left="1077" w:hanging="357"/>
        <w:rPr>
          <w:rFonts w:ascii="Arial" w:eastAsia="Calibri" w:hAnsi="Arial" w:cs="Arial"/>
          <w:color w:val="565A66"/>
          <w:sz w:val="26"/>
          <w:szCs w:val="26"/>
        </w:rPr>
      </w:pPr>
      <w:r w:rsidRPr="00532D29">
        <w:rPr>
          <w:rFonts w:ascii="Arial" w:eastAsia="Calibri" w:hAnsi="Arial" w:cs="Arial"/>
          <w:color w:val="565A66"/>
          <w:sz w:val="26"/>
          <w:szCs w:val="26"/>
        </w:rPr>
        <w:t>consider whether an investigation is required</w:t>
      </w:r>
      <w:r w:rsidR="002704A9" w:rsidRPr="00532D29">
        <w:rPr>
          <w:rFonts w:ascii="Arial" w:eastAsia="Calibri" w:hAnsi="Arial" w:cs="Arial"/>
          <w:color w:val="565A66"/>
          <w:sz w:val="26"/>
          <w:szCs w:val="26"/>
        </w:rPr>
        <w:t xml:space="preserve"> pursuant to the PID Act</w:t>
      </w:r>
      <w:r w:rsidR="002A4E93" w:rsidRPr="00532D29">
        <w:rPr>
          <w:rFonts w:ascii="Arial" w:eastAsia="Calibri" w:hAnsi="Arial" w:cs="Arial"/>
          <w:color w:val="565A66"/>
          <w:sz w:val="26"/>
          <w:szCs w:val="26"/>
        </w:rPr>
        <w:t>.</w:t>
      </w:r>
      <w:r w:rsidR="00E96B02" w:rsidRPr="00532D29">
        <w:rPr>
          <w:rFonts w:ascii="Arial" w:eastAsia="Calibri" w:hAnsi="Arial" w:cs="Arial"/>
          <w:color w:val="565A66"/>
          <w:sz w:val="26"/>
          <w:szCs w:val="26"/>
        </w:rPr>
        <w:t xml:space="preserve"> </w:t>
      </w:r>
    </w:p>
    <w:p w14:paraId="79BCEFD4" w14:textId="6E73AC95" w:rsidR="004F7283" w:rsidRPr="00532D29" w:rsidRDefault="00112379" w:rsidP="009C5ABA">
      <w:pPr>
        <w:pStyle w:val="ListParagraph"/>
        <w:numPr>
          <w:ilvl w:val="0"/>
          <w:numId w:val="36"/>
        </w:numPr>
        <w:rPr>
          <w:rFonts w:ascii="Arial" w:eastAsia="Calibri" w:hAnsi="Arial" w:cs="Arial"/>
          <w:color w:val="565A66"/>
          <w:sz w:val="26"/>
          <w:szCs w:val="26"/>
        </w:rPr>
      </w:pPr>
      <w:r w:rsidRPr="00532D29">
        <w:rPr>
          <w:rFonts w:ascii="Arial" w:eastAsia="Calibri" w:hAnsi="Arial" w:cs="Arial"/>
          <w:color w:val="565A66"/>
          <w:sz w:val="26"/>
          <w:szCs w:val="26"/>
        </w:rPr>
        <w:t xml:space="preserve">If </w:t>
      </w:r>
      <w:r w:rsidR="00424E30" w:rsidRPr="00532D29">
        <w:rPr>
          <w:rFonts w:ascii="Arial" w:eastAsia="Calibri" w:hAnsi="Arial" w:cs="Arial"/>
          <w:color w:val="565A66"/>
          <w:sz w:val="26"/>
          <w:szCs w:val="26"/>
        </w:rPr>
        <w:t xml:space="preserve">the Principal Officer </w:t>
      </w:r>
      <w:r w:rsidRPr="00532D29">
        <w:rPr>
          <w:rFonts w:ascii="Arial" w:eastAsia="Calibri" w:hAnsi="Arial" w:cs="Arial"/>
          <w:color w:val="565A66"/>
          <w:sz w:val="26"/>
          <w:szCs w:val="26"/>
        </w:rPr>
        <w:t xml:space="preserve">decides </w:t>
      </w:r>
      <w:r w:rsidR="00B21A73" w:rsidRPr="00532D29">
        <w:rPr>
          <w:rFonts w:ascii="Arial" w:eastAsia="Calibri" w:hAnsi="Arial" w:cs="Arial"/>
          <w:color w:val="565A66"/>
          <w:sz w:val="26"/>
          <w:szCs w:val="26"/>
        </w:rPr>
        <w:t>not to investigate (or further investigate)</w:t>
      </w:r>
      <w:r w:rsidR="00E96B02" w:rsidRPr="00532D29">
        <w:rPr>
          <w:rFonts w:ascii="Arial" w:eastAsia="Calibri" w:hAnsi="Arial" w:cs="Arial"/>
          <w:color w:val="565A66"/>
          <w:sz w:val="26"/>
          <w:szCs w:val="26"/>
        </w:rPr>
        <w:t xml:space="preserve"> the disclos</w:t>
      </w:r>
      <w:r w:rsidR="00F95A36" w:rsidRPr="00532D29">
        <w:rPr>
          <w:rFonts w:ascii="Arial" w:eastAsia="Calibri" w:hAnsi="Arial" w:cs="Arial"/>
          <w:color w:val="565A66"/>
          <w:sz w:val="26"/>
          <w:szCs w:val="26"/>
        </w:rPr>
        <w:t>u</w:t>
      </w:r>
      <w:r w:rsidR="00E96B02" w:rsidRPr="00532D29">
        <w:rPr>
          <w:rFonts w:ascii="Arial" w:eastAsia="Calibri" w:hAnsi="Arial" w:cs="Arial"/>
          <w:color w:val="565A66"/>
          <w:sz w:val="26"/>
          <w:szCs w:val="26"/>
        </w:rPr>
        <w:t>r</w:t>
      </w:r>
      <w:r w:rsidR="00F95A36" w:rsidRPr="00532D29">
        <w:rPr>
          <w:rFonts w:ascii="Arial" w:eastAsia="Calibri" w:hAnsi="Arial" w:cs="Arial"/>
          <w:color w:val="565A66"/>
          <w:sz w:val="26"/>
          <w:szCs w:val="26"/>
        </w:rPr>
        <w:t>e</w:t>
      </w:r>
      <w:r w:rsidR="004F7283" w:rsidRPr="00532D29">
        <w:rPr>
          <w:rFonts w:ascii="Arial" w:eastAsia="Calibri" w:hAnsi="Arial" w:cs="Arial"/>
          <w:color w:val="565A66"/>
          <w:sz w:val="26"/>
          <w:szCs w:val="26"/>
        </w:rPr>
        <w:t>, they must</w:t>
      </w:r>
      <w:r w:rsidR="00FC3641" w:rsidRPr="00532D29">
        <w:rPr>
          <w:rFonts w:ascii="Arial" w:eastAsia="Calibri" w:hAnsi="Arial" w:cs="Arial"/>
          <w:color w:val="565A66"/>
          <w:sz w:val="26"/>
          <w:szCs w:val="26"/>
        </w:rPr>
        <w:t>:</w:t>
      </w:r>
      <w:r w:rsidR="004F7283" w:rsidRPr="00532D29">
        <w:rPr>
          <w:rFonts w:ascii="Arial" w:eastAsia="Calibri" w:hAnsi="Arial" w:cs="Arial"/>
          <w:color w:val="565A66"/>
          <w:sz w:val="26"/>
          <w:szCs w:val="26"/>
        </w:rPr>
        <w:t xml:space="preserve"> </w:t>
      </w:r>
    </w:p>
    <w:p w14:paraId="5E2125C1" w14:textId="239A2735" w:rsidR="00286A2A" w:rsidRPr="00532D29" w:rsidRDefault="004F7283" w:rsidP="004F7283">
      <w:pPr>
        <w:pStyle w:val="ListParagraph"/>
        <w:numPr>
          <w:ilvl w:val="1"/>
          <w:numId w:val="36"/>
        </w:numPr>
        <w:rPr>
          <w:rFonts w:ascii="Arial" w:eastAsia="Calibri" w:hAnsi="Arial" w:cs="Arial"/>
          <w:color w:val="565A66"/>
          <w:sz w:val="26"/>
          <w:szCs w:val="26"/>
        </w:rPr>
      </w:pPr>
      <w:r w:rsidRPr="00532D29">
        <w:rPr>
          <w:rFonts w:ascii="Arial" w:eastAsia="Calibri" w:hAnsi="Arial" w:cs="Arial"/>
          <w:color w:val="565A66"/>
          <w:sz w:val="26"/>
          <w:szCs w:val="26"/>
        </w:rPr>
        <w:t>if reasonably practicable, give written notice of a decision</w:t>
      </w:r>
      <w:r w:rsidR="00424E30" w:rsidRPr="00532D29">
        <w:rPr>
          <w:rFonts w:ascii="Arial" w:eastAsia="Calibri" w:hAnsi="Arial" w:cs="Arial"/>
          <w:color w:val="565A66"/>
          <w:sz w:val="26"/>
          <w:szCs w:val="26"/>
        </w:rPr>
        <w:t xml:space="preserve"> to the discloser</w:t>
      </w:r>
      <w:r w:rsidR="00DB3E5C" w:rsidRPr="00532D29">
        <w:rPr>
          <w:rFonts w:ascii="Arial" w:eastAsia="Calibri" w:hAnsi="Arial" w:cs="Arial"/>
          <w:color w:val="565A66"/>
          <w:sz w:val="26"/>
          <w:szCs w:val="26"/>
        </w:rPr>
        <w:t xml:space="preserve">, identifying: (a) the reasons for the decision, </w:t>
      </w:r>
      <w:r w:rsidR="002010E6" w:rsidRPr="00532D29">
        <w:rPr>
          <w:rFonts w:ascii="Arial" w:eastAsia="Calibri" w:hAnsi="Arial" w:cs="Arial"/>
          <w:color w:val="565A66"/>
          <w:sz w:val="26"/>
          <w:szCs w:val="26"/>
        </w:rPr>
        <w:t xml:space="preserve">and </w:t>
      </w:r>
      <w:r w:rsidR="00DB3E5C" w:rsidRPr="00532D29">
        <w:rPr>
          <w:rFonts w:ascii="Arial" w:eastAsia="Calibri" w:hAnsi="Arial" w:cs="Arial"/>
          <w:color w:val="565A66"/>
          <w:sz w:val="26"/>
          <w:szCs w:val="26"/>
        </w:rPr>
        <w:t>(b)</w:t>
      </w:r>
      <w:r w:rsidR="002010E6" w:rsidRPr="00532D29">
        <w:rPr>
          <w:rFonts w:ascii="Arial" w:eastAsia="Calibri" w:hAnsi="Arial" w:cs="Arial"/>
          <w:color w:val="565A66"/>
          <w:sz w:val="26"/>
          <w:szCs w:val="26"/>
        </w:rPr>
        <w:t xml:space="preserve"> if the Principal officer </w:t>
      </w:r>
      <w:r w:rsidR="00F95A36" w:rsidRPr="00532D29">
        <w:rPr>
          <w:rFonts w:ascii="Arial" w:eastAsia="Calibri" w:hAnsi="Arial" w:cs="Arial"/>
          <w:color w:val="565A66"/>
          <w:sz w:val="26"/>
          <w:szCs w:val="26"/>
        </w:rPr>
        <w:t xml:space="preserve">decides that the disclosure would be more appropriately </w:t>
      </w:r>
      <w:r w:rsidR="00333A06" w:rsidRPr="00532D29">
        <w:rPr>
          <w:rFonts w:ascii="Arial" w:eastAsia="Calibri" w:hAnsi="Arial" w:cs="Arial"/>
          <w:color w:val="565A66"/>
          <w:sz w:val="26"/>
          <w:szCs w:val="26"/>
        </w:rPr>
        <w:t>investigated under another law or power, relevant details about the law or power, the agen</w:t>
      </w:r>
      <w:r w:rsidR="004E6FF7" w:rsidRPr="00532D29">
        <w:rPr>
          <w:rFonts w:ascii="Arial" w:eastAsia="Calibri" w:hAnsi="Arial" w:cs="Arial"/>
          <w:color w:val="565A66"/>
          <w:sz w:val="26"/>
          <w:szCs w:val="26"/>
        </w:rPr>
        <w:t>cy to which the disclosure might be referred and the proposed steps to refer the disclosure</w:t>
      </w:r>
      <w:r w:rsidR="003B4AF5" w:rsidRPr="00532D29">
        <w:rPr>
          <w:rFonts w:ascii="Arial" w:eastAsia="Calibri" w:hAnsi="Arial" w:cs="Arial"/>
          <w:color w:val="565A66"/>
          <w:sz w:val="26"/>
          <w:szCs w:val="26"/>
        </w:rPr>
        <w:t xml:space="preserve">; </w:t>
      </w:r>
      <w:r w:rsidR="00424E30" w:rsidRPr="00532D29">
        <w:rPr>
          <w:rFonts w:ascii="Arial" w:eastAsia="Calibri" w:hAnsi="Arial" w:cs="Arial"/>
          <w:color w:val="565A66"/>
          <w:sz w:val="26"/>
          <w:szCs w:val="26"/>
        </w:rPr>
        <w:t>and</w:t>
      </w:r>
    </w:p>
    <w:p w14:paraId="00FDB309" w14:textId="3ED01763" w:rsidR="00424E30" w:rsidRPr="00532D29" w:rsidRDefault="004F7283" w:rsidP="00973990">
      <w:pPr>
        <w:pStyle w:val="ListParagraph"/>
        <w:numPr>
          <w:ilvl w:val="1"/>
          <w:numId w:val="36"/>
        </w:numPr>
        <w:rPr>
          <w:rFonts w:ascii="Arial" w:eastAsia="Calibri" w:hAnsi="Arial" w:cs="Arial"/>
          <w:color w:val="565A66"/>
          <w:sz w:val="26"/>
          <w:szCs w:val="26"/>
        </w:rPr>
      </w:pPr>
      <w:r w:rsidRPr="00532D29">
        <w:rPr>
          <w:rFonts w:ascii="Arial" w:eastAsia="Calibri" w:hAnsi="Arial" w:cs="Arial"/>
          <w:color w:val="565A66"/>
          <w:sz w:val="26"/>
          <w:szCs w:val="26"/>
        </w:rPr>
        <w:t>give</w:t>
      </w:r>
      <w:r w:rsidR="002B25BB" w:rsidRPr="00532D29">
        <w:rPr>
          <w:rFonts w:ascii="Arial" w:eastAsia="Calibri" w:hAnsi="Arial" w:cs="Arial"/>
          <w:color w:val="565A66"/>
          <w:sz w:val="26"/>
          <w:szCs w:val="26"/>
        </w:rPr>
        <w:t xml:space="preserve"> written notice of the decision to the Commonwealth Ombudsman identifying</w:t>
      </w:r>
      <w:r w:rsidR="00FC3641" w:rsidRPr="00532D29">
        <w:rPr>
          <w:rFonts w:ascii="Arial" w:eastAsia="Calibri" w:hAnsi="Arial" w:cs="Arial"/>
          <w:color w:val="565A66"/>
          <w:sz w:val="26"/>
          <w:szCs w:val="26"/>
        </w:rPr>
        <w:t xml:space="preserve"> those matters which the notice to the discloser must address.</w:t>
      </w:r>
    </w:p>
    <w:p w14:paraId="010544BE" w14:textId="77777777" w:rsidR="00434E08" w:rsidRPr="00532D29" w:rsidRDefault="00434E08" w:rsidP="00434E08">
      <w:pPr>
        <w:pStyle w:val="ListParagraph"/>
        <w:ind w:left="1077"/>
        <w:rPr>
          <w:rFonts w:ascii="Arial" w:eastAsia="Calibri" w:hAnsi="Arial" w:cs="Arial"/>
          <w:color w:val="565A66"/>
          <w:sz w:val="26"/>
          <w:szCs w:val="26"/>
        </w:rPr>
      </w:pPr>
    </w:p>
    <w:p w14:paraId="24546154" w14:textId="5D1B7285" w:rsidR="00E80DB0" w:rsidRPr="00532D29" w:rsidRDefault="003B4AF5" w:rsidP="005707A1">
      <w:pPr>
        <w:pStyle w:val="ListParagraph"/>
        <w:numPr>
          <w:ilvl w:val="1"/>
          <w:numId w:val="39"/>
        </w:numPr>
        <w:ind w:left="1077" w:hanging="357"/>
        <w:rPr>
          <w:rFonts w:ascii="Arial" w:eastAsia="Calibri" w:hAnsi="Arial" w:cs="Arial"/>
          <w:color w:val="565A66"/>
          <w:sz w:val="26"/>
          <w:szCs w:val="26"/>
        </w:rPr>
      </w:pPr>
      <w:r w:rsidRPr="00532D29">
        <w:rPr>
          <w:rFonts w:ascii="Arial" w:eastAsia="Calibri" w:hAnsi="Arial" w:cs="Arial"/>
          <w:color w:val="565A66"/>
          <w:sz w:val="26"/>
          <w:szCs w:val="26"/>
        </w:rPr>
        <w:t>if an investigation is required, conduct the investigation</w:t>
      </w:r>
      <w:r w:rsidR="00945CE0" w:rsidRPr="00532D29">
        <w:rPr>
          <w:rFonts w:ascii="Arial" w:eastAsia="Calibri" w:hAnsi="Arial" w:cs="Arial"/>
          <w:color w:val="565A66"/>
          <w:sz w:val="26"/>
          <w:szCs w:val="26"/>
        </w:rPr>
        <w:t xml:space="preserve">, unless a stop action direction under the NACC Act applies. </w:t>
      </w:r>
      <w:r w:rsidR="00A763DA" w:rsidRPr="00532D29">
        <w:rPr>
          <w:rFonts w:ascii="Arial" w:eastAsia="Calibri" w:hAnsi="Arial" w:cs="Arial"/>
          <w:color w:val="565A66"/>
          <w:sz w:val="26"/>
          <w:szCs w:val="26"/>
        </w:rPr>
        <w:t xml:space="preserve">If a </w:t>
      </w:r>
      <w:r w:rsidR="00FD47DA" w:rsidRPr="00532D29">
        <w:rPr>
          <w:rFonts w:ascii="Arial" w:eastAsia="Calibri" w:hAnsi="Arial" w:cs="Arial"/>
          <w:color w:val="565A66"/>
          <w:sz w:val="26"/>
          <w:szCs w:val="26"/>
        </w:rPr>
        <w:t>direction applies, t</w:t>
      </w:r>
      <w:r w:rsidR="00E00232" w:rsidRPr="00532D29">
        <w:rPr>
          <w:rFonts w:ascii="Arial" w:eastAsia="Calibri" w:hAnsi="Arial" w:cs="Arial"/>
          <w:color w:val="565A66"/>
          <w:sz w:val="26"/>
          <w:szCs w:val="26"/>
        </w:rPr>
        <w:t xml:space="preserve">he Principal Officer must give </w:t>
      </w:r>
      <w:r w:rsidR="00D90D16" w:rsidRPr="00532D29">
        <w:rPr>
          <w:rFonts w:ascii="Arial" w:eastAsia="Calibri" w:hAnsi="Arial" w:cs="Arial"/>
          <w:color w:val="565A66"/>
          <w:sz w:val="26"/>
          <w:szCs w:val="26"/>
        </w:rPr>
        <w:t>written notice of the direction to the discloser and the Commonwealth Ombudsman as soon as reasonably practicable</w:t>
      </w:r>
      <w:r w:rsidR="00FD47DA" w:rsidRPr="00532D29">
        <w:rPr>
          <w:rFonts w:ascii="Arial" w:eastAsia="Calibri" w:hAnsi="Arial" w:cs="Arial"/>
          <w:color w:val="565A66"/>
          <w:sz w:val="26"/>
          <w:szCs w:val="26"/>
        </w:rPr>
        <w:t>. Once the direction no longer applies, the Principal Officer must</w:t>
      </w:r>
      <w:r w:rsidR="00372075" w:rsidRPr="00532D29">
        <w:rPr>
          <w:rFonts w:ascii="Arial" w:eastAsia="Calibri" w:hAnsi="Arial" w:cs="Arial"/>
          <w:color w:val="565A66"/>
          <w:sz w:val="26"/>
          <w:szCs w:val="26"/>
        </w:rPr>
        <w:t>, as soon</w:t>
      </w:r>
      <w:r w:rsidR="00FD47DA" w:rsidRPr="00532D29">
        <w:rPr>
          <w:rFonts w:ascii="Arial" w:eastAsia="Calibri" w:hAnsi="Arial" w:cs="Arial"/>
          <w:color w:val="565A66"/>
          <w:sz w:val="26"/>
          <w:szCs w:val="26"/>
        </w:rPr>
        <w:t xml:space="preserve"> </w:t>
      </w:r>
      <w:r w:rsidR="00372075" w:rsidRPr="00532D29">
        <w:rPr>
          <w:rFonts w:ascii="Arial" w:eastAsia="Calibri" w:hAnsi="Arial" w:cs="Arial"/>
          <w:color w:val="565A66"/>
          <w:sz w:val="26"/>
          <w:szCs w:val="26"/>
        </w:rPr>
        <w:t>as reasonably practicable, inform the discloser</w:t>
      </w:r>
      <w:r w:rsidR="003A28DB" w:rsidRPr="00532D29">
        <w:rPr>
          <w:rFonts w:ascii="Arial" w:eastAsia="Calibri" w:hAnsi="Arial" w:cs="Arial"/>
          <w:color w:val="565A66"/>
          <w:sz w:val="26"/>
          <w:szCs w:val="26"/>
        </w:rPr>
        <w:t xml:space="preserve"> if the Principal Officer investigates, or further investigates, a disclosure to which a direction no longer applies</w:t>
      </w:r>
      <w:r w:rsidRPr="00532D29">
        <w:rPr>
          <w:rFonts w:ascii="Arial" w:eastAsia="Calibri" w:hAnsi="Arial" w:cs="Arial"/>
          <w:color w:val="565A66"/>
          <w:sz w:val="26"/>
          <w:szCs w:val="26"/>
        </w:rPr>
        <w:t xml:space="preserve">; and </w:t>
      </w:r>
    </w:p>
    <w:p w14:paraId="00FF0B2B" w14:textId="77777777" w:rsidR="00434E08" w:rsidRPr="00532D29" w:rsidRDefault="00434E08" w:rsidP="00434E08">
      <w:pPr>
        <w:pStyle w:val="ListParagraph"/>
        <w:ind w:left="1077"/>
        <w:rPr>
          <w:rFonts w:ascii="Arial" w:hAnsi="Arial" w:cs="Arial"/>
        </w:rPr>
      </w:pPr>
    </w:p>
    <w:p w14:paraId="1092DA19" w14:textId="422ADA21" w:rsidR="00AA3CC7" w:rsidRPr="00532D29" w:rsidRDefault="003B4AF5" w:rsidP="005707A1">
      <w:pPr>
        <w:pStyle w:val="ListParagraph"/>
        <w:numPr>
          <w:ilvl w:val="1"/>
          <w:numId w:val="39"/>
        </w:numPr>
        <w:ind w:left="1077" w:hanging="357"/>
        <w:rPr>
          <w:rFonts w:ascii="Arial" w:hAnsi="Arial" w:cs="Arial"/>
        </w:rPr>
      </w:pPr>
      <w:r w:rsidRPr="00532D29">
        <w:rPr>
          <w:rFonts w:ascii="Arial" w:eastAsia="Calibri" w:hAnsi="Arial" w:cs="Arial"/>
          <w:color w:val="565A66"/>
          <w:sz w:val="26"/>
          <w:szCs w:val="26"/>
        </w:rPr>
        <w:t>comply with the relevant post-investigation notification requirements.</w:t>
      </w:r>
    </w:p>
    <w:p w14:paraId="1408DE52" w14:textId="77777777" w:rsidR="00283287" w:rsidRPr="00532D29" w:rsidRDefault="00283287" w:rsidP="5FBC1E8D">
      <w:pPr>
        <w:pStyle w:val="Heading3"/>
        <w:rPr>
          <w:rFonts w:ascii="Arial" w:eastAsia="Calibri" w:hAnsi="Arial" w:cs="Arial"/>
          <w:color w:val="004D7D"/>
          <w:sz w:val="36"/>
          <w:szCs w:val="36"/>
        </w:rPr>
      </w:pPr>
    </w:p>
    <w:p w14:paraId="7F2BB7BE" w14:textId="28E5D428" w:rsidR="7D066A45" w:rsidRPr="00532D29" w:rsidRDefault="7D066A45" w:rsidP="5FBC1E8D">
      <w:pPr>
        <w:pStyle w:val="Heading3"/>
        <w:rPr>
          <w:rFonts w:ascii="Arial" w:hAnsi="Arial" w:cs="Arial"/>
        </w:rPr>
      </w:pPr>
      <w:bookmarkStart w:id="15" w:name="_Toc151125748"/>
      <w:r w:rsidRPr="00532D29">
        <w:rPr>
          <w:rFonts w:ascii="Arial" w:eastAsia="Calibri" w:hAnsi="Arial" w:cs="Arial"/>
          <w:color w:val="004D7D"/>
          <w:sz w:val="36"/>
          <w:szCs w:val="36"/>
        </w:rPr>
        <w:t>Conduct of the investigation</w:t>
      </w:r>
      <w:bookmarkEnd w:id="15"/>
    </w:p>
    <w:p w14:paraId="4194725F" w14:textId="3A6FB6C0"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The investigation must be conducted in accordance with the Australian Government Investigation Standards and any other applicable requirements, including the Commonwealth Fraud Control Guidelines and TEQSA's procedures for APS Code of Conduct Determinations.</w:t>
      </w:r>
    </w:p>
    <w:p w14:paraId="27940A19" w14:textId="77777777" w:rsidR="00C92B49" w:rsidRPr="00532D29" w:rsidRDefault="00C92B49" w:rsidP="00973990">
      <w:pPr>
        <w:pStyle w:val="ListParagraph"/>
        <w:rPr>
          <w:rFonts w:ascii="Arial" w:hAnsi="Arial" w:cs="Arial"/>
        </w:rPr>
      </w:pPr>
    </w:p>
    <w:p w14:paraId="03EA4420" w14:textId="5F96B769"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 xml:space="preserve">The </w:t>
      </w:r>
      <w:r w:rsidR="00E80DB0" w:rsidRPr="00532D29">
        <w:rPr>
          <w:rFonts w:ascii="Arial" w:eastAsia="Calibri" w:hAnsi="Arial" w:cs="Arial"/>
          <w:color w:val="565A66"/>
          <w:sz w:val="26"/>
          <w:szCs w:val="26"/>
        </w:rPr>
        <w:t xml:space="preserve">Principal Officer </w:t>
      </w:r>
      <w:r w:rsidR="009876F6" w:rsidRPr="00532D29">
        <w:rPr>
          <w:rFonts w:ascii="Arial" w:eastAsia="Calibri" w:hAnsi="Arial" w:cs="Arial"/>
          <w:color w:val="565A66"/>
          <w:sz w:val="26"/>
          <w:szCs w:val="26"/>
        </w:rPr>
        <w:t xml:space="preserve">will </w:t>
      </w:r>
      <w:r w:rsidRPr="00532D29">
        <w:rPr>
          <w:rFonts w:ascii="Arial" w:eastAsia="Calibri" w:hAnsi="Arial" w:cs="Arial"/>
          <w:color w:val="565A66"/>
          <w:sz w:val="26"/>
          <w:szCs w:val="26"/>
        </w:rPr>
        <w:t xml:space="preserve">conduct the investigation in </w:t>
      </w:r>
      <w:r w:rsidR="009876F6" w:rsidRPr="00532D29">
        <w:rPr>
          <w:rFonts w:ascii="Arial" w:eastAsia="Calibri" w:hAnsi="Arial" w:cs="Arial"/>
          <w:color w:val="565A66"/>
          <w:sz w:val="26"/>
          <w:szCs w:val="26"/>
        </w:rPr>
        <w:t xml:space="preserve">the </w:t>
      </w:r>
      <w:r w:rsidRPr="00532D29">
        <w:rPr>
          <w:rFonts w:ascii="Arial" w:eastAsia="Calibri" w:hAnsi="Arial" w:cs="Arial"/>
          <w:color w:val="565A66"/>
          <w:sz w:val="26"/>
          <w:szCs w:val="26"/>
        </w:rPr>
        <w:t xml:space="preserve">way </w:t>
      </w:r>
      <w:r w:rsidR="00B26E2B" w:rsidRPr="00532D29">
        <w:rPr>
          <w:rFonts w:ascii="Arial" w:eastAsia="Calibri" w:hAnsi="Arial" w:cs="Arial"/>
          <w:color w:val="565A66"/>
          <w:sz w:val="26"/>
          <w:szCs w:val="26"/>
        </w:rPr>
        <w:t>t</w:t>
      </w:r>
      <w:r w:rsidRPr="00532D29">
        <w:rPr>
          <w:rFonts w:ascii="Arial" w:eastAsia="Calibri" w:hAnsi="Arial" w:cs="Arial"/>
          <w:color w:val="565A66"/>
          <w:sz w:val="26"/>
          <w:szCs w:val="26"/>
        </w:rPr>
        <w:t>he</w:t>
      </w:r>
      <w:r w:rsidR="00B26E2B" w:rsidRPr="00532D29">
        <w:rPr>
          <w:rFonts w:ascii="Arial" w:eastAsia="Calibri" w:hAnsi="Arial" w:cs="Arial"/>
          <w:color w:val="565A66"/>
          <w:sz w:val="26"/>
          <w:szCs w:val="26"/>
        </w:rPr>
        <w:t>y</w:t>
      </w:r>
      <w:r w:rsidRPr="00532D29">
        <w:rPr>
          <w:rFonts w:ascii="Arial" w:eastAsia="Calibri" w:hAnsi="Arial" w:cs="Arial"/>
          <w:color w:val="565A66"/>
          <w:sz w:val="26"/>
          <w:szCs w:val="26"/>
        </w:rPr>
        <w:t xml:space="preserve"> see fit</w:t>
      </w:r>
      <w:r w:rsidR="003700D6" w:rsidRPr="00532D29">
        <w:rPr>
          <w:rFonts w:ascii="Arial" w:eastAsia="Calibri" w:hAnsi="Arial" w:cs="Arial"/>
          <w:color w:val="565A66"/>
          <w:sz w:val="26"/>
          <w:szCs w:val="26"/>
        </w:rPr>
        <w:t xml:space="preserve"> </w:t>
      </w:r>
      <w:r w:rsidR="00BA06CF" w:rsidRPr="00532D29">
        <w:rPr>
          <w:rFonts w:ascii="Arial" w:eastAsia="Calibri" w:hAnsi="Arial" w:cs="Arial"/>
          <w:color w:val="565A66"/>
          <w:sz w:val="26"/>
          <w:szCs w:val="26"/>
        </w:rPr>
        <w:t xml:space="preserve">consistently with the </w:t>
      </w:r>
      <w:hyperlink r:id="rId15" w:history="1">
        <w:r w:rsidR="00BA06CF" w:rsidRPr="00532D29">
          <w:rPr>
            <w:rStyle w:val="Hyperlink"/>
            <w:rFonts w:ascii="Arial" w:eastAsia="Calibri" w:hAnsi="Arial" w:cs="Arial"/>
            <w:sz w:val="26"/>
            <w:szCs w:val="26"/>
          </w:rPr>
          <w:t>Public Interest Disclosure Standard 2013</w:t>
        </w:r>
      </w:hyperlink>
      <w:r w:rsidR="00BA06CF" w:rsidRPr="00532D29">
        <w:rPr>
          <w:rFonts w:ascii="Arial" w:eastAsia="Calibri" w:hAnsi="Arial" w:cs="Arial"/>
          <w:color w:val="565A66"/>
          <w:sz w:val="26"/>
          <w:szCs w:val="26"/>
        </w:rPr>
        <w:t>,</w:t>
      </w:r>
      <w:r w:rsidRPr="00532D29">
        <w:rPr>
          <w:rFonts w:ascii="Arial" w:eastAsia="Calibri" w:hAnsi="Arial" w:cs="Arial"/>
          <w:color w:val="565A66"/>
          <w:sz w:val="26"/>
          <w:szCs w:val="26"/>
        </w:rPr>
        <w:t xml:space="preserve"> </w:t>
      </w:r>
      <w:r w:rsidR="009876F6" w:rsidRPr="00532D29">
        <w:rPr>
          <w:rFonts w:ascii="Arial" w:eastAsia="Calibri" w:hAnsi="Arial" w:cs="Arial"/>
          <w:color w:val="565A66"/>
          <w:sz w:val="26"/>
          <w:szCs w:val="26"/>
        </w:rPr>
        <w:t xml:space="preserve">in light of </w:t>
      </w:r>
      <w:r w:rsidRPr="00532D29">
        <w:rPr>
          <w:rFonts w:ascii="Arial" w:eastAsia="Calibri" w:hAnsi="Arial" w:cs="Arial"/>
          <w:color w:val="565A66"/>
          <w:sz w:val="26"/>
          <w:szCs w:val="26"/>
        </w:rPr>
        <w:t>the nature of the alleged disclosable conduct. In general, the following principles apply:</w:t>
      </w:r>
    </w:p>
    <w:p w14:paraId="28D300B3" w14:textId="7C0C03F1" w:rsidR="7D066A45" w:rsidRPr="00532D29" w:rsidRDefault="7D066A45" w:rsidP="00520BF3">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procedural fairness</w:t>
      </w:r>
    </w:p>
    <w:p w14:paraId="7C1AE4FE" w14:textId="741A6CBD" w:rsidR="7D066A45" w:rsidRPr="00532D29" w:rsidRDefault="7D066A45" w:rsidP="5FBC1E8D">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lastRenderedPageBreak/>
        <w:t>confidentiality</w:t>
      </w:r>
    </w:p>
    <w:p w14:paraId="0968629B" w14:textId="527C4F02" w:rsidR="7D066A45" w:rsidRPr="00532D29" w:rsidRDefault="7D066A45" w:rsidP="5FBC1E8D">
      <w:pPr>
        <w:pStyle w:val="ListParagraph"/>
        <w:numPr>
          <w:ilvl w:val="0"/>
          <w:numId w:val="6"/>
        </w:numPr>
        <w:spacing w:after="0"/>
        <w:rPr>
          <w:rFonts w:ascii="Arial" w:eastAsia="Calibri" w:hAnsi="Arial" w:cs="Arial"/>
          <w:color w:val="565A66"/>
          <w:sz w:val="26"/>
          <w:szCs w:val="26"/>
        </w:rPr>
      </w:pPr>
      <w:r w:rsidRPr="00532D29">
        <w:rPr>
          <w:rFonts w:ascii="Arial" w:eastAsia="Calibri" w:hAnsi="Arial" w:cs="Arial"/>
          <w:color w:val="565A66"/>
          <w:sz w:val="26"/>
          <w:szCs w:val="26"/>
        </w:rPr>
        <w:t>determination of proof on the balance of probabilities – ie more likely than not the fact is true.</w:t>
      </w:r>
    </w:p>
    <w:p w14:paraId="33E7863A" w14:textId="77777777" w:rsidR="00520BF3" w:rsidRPr="00532D29" w:rsidRDefault="00520BF3" w:rsidP="00520BF3">
      <w:pPr>
        <w:pStyle w:val="ListParagraph"/>
        <w:spacing w:after="0"/>
        <w:rPr>
          <w:rFonts w:ascii="Arial" w:eastAsia="Calibri" w:hAnsi="Arial" w:cs="Arial"/>
          <w:color w:val="565A66"/>
          <w:sz w:val="26"/>
          <w:szCs w:val="26"/>
        </w:rPr>
      </w:pPr>
    </w:p>
    <w:p w14:paraId="3C6BD599" w14:textId="6B517B9F" w:rsidR="7D066A45" w:rsidRPr="00532D29" w:rsidRDefault="7D066A45" w:rsidP="005707A1">
      <w:pPr>
        <w:pStyle w:val="ListParagraph"/>
        <w:numPr>
          <w:ilvl w:val="0"/>
          <w:numId w:val="21"/>
        </w:numPr>
        <w:spacing w:after="0"/>
        <w:rPr>
          <w:rFonts w:ascii="Arial" w:eastAsia="Calibri" w:hAnsi="Arial" w:cs="Arial"/>
          <w:color w:val="565A66"/>
          <w:sz w:val="26"/>
          <w:szCs w:val="26"/>
        </w:rPr>
      </w:pPr>
      <w:r w:rsidRPr="00532D29">
        <w:rPr>
          <w:rFonts w:ascii="Arial" w:eastAsia="Calibri" w:hAnsi="Arial" w:cs="Arial"/>
          <w:color w:val="565A66"/>
          <w:sz w:val="26"/>
          <w:szCs w:val="26"/>
        </w:rPr>
        <w:t>If a person is interviewed as part of the investigation of a disclosure, the interviewee will be informed of the following:</w:t>
      </w:r>
      <w:r w:rsidRPr="00532D29">
        <w:rPr>
          <w:rFonts w:ascii="Arial" w:hAnsi="Arial" w:cs="Arial"/>
        </w:rPr>
        <w:br/>
      </w:r>
    </w:p>
    <w:p w14:paraId="0741C0F0" w14:textId="3E798366" w:rsidR="7D066A45" w:rsidRPr="00532D29" w:rsidRDefault="7D066A45" w:rsidP="5FBC1E8D">
      <w:pPr>
        <w:pStyle w:val="ListParagraph"/>
        <w:numPr>
          <w:ilvl w:val="0"/>
          <w:numId w:val="3"/>
        </w:numPr>
        <w:spacing w:after="0"/>
        <w:rPr>
          <w:rFonts w:ascii="Arial" w:eastAsia="Calibri" w:hAnsi="Arial" w:cs="Arial"/>
          <w:color w:val="565A66"/>
          <w:sz w:val="26"/>
          <w:szCs w:val="26"/>
        </w:rPr>
      </w:pPr>
      <w:r w:rsidRPr="00532D29">
        <w:rPr>
          <w:rFonts w:ascii="Arial" w:eastAsia="Calibri" w:hAnsi="Arial" w:cs="Arial"/>
          <w:color w:val="565A66"/>
          <w:sz w:val="26"/>
          <w:szCs w:val="26"/>
        </w:rPr>
        <w:t>the identity and function of each individual conducting the interview</w:t>
      </w:r>
    </w:p>
    <w:p w14:paraId="35F83E29" w14:textId="1F2BBE78" w:rsidR="7D066A45" w:rsidRPr="00532D29" w:rsidRDefault="7D066A45" w:rsidP="5FBC1E8D">
      <w:pPr>
        <w:pStyle w:val="ListParagraph"/>
        <w:numPr>
          <w:ilvl w:val="0"/>
          <w:numId w:val="3"/>
        </w:numPr>
        <w:spacing w:after="0"/>
        <w:rPr>
          <w:rFonts w:ascii="Arial" w:eastAsia="Calibri" w:hAnsi="Arial" w:cs="Arial"/>
          <w:color w:val="565A66"/>
          <w:sz w:val="26"/>
          <w:szCs w:val="26"/>
        </w:rPr>
      </w:pPr>
      <w:r w:rsidRPr="00532D29">
        <w:rPr>
          <w:rFonts w:ascii="Arial" w:eastAsia="Calibri" w:hAnsi="Arial" w:cs="Arial"/>
          <w:color w:val="565A66"/>
          <w:sz w:val="26"/>
          <w:szCs w:val="26"/>
        </w:rPr>
        <w:t>the process of conducting an investigation</w:t>
      </w:r>
    </w:p>
    <w:p w14:paraId="3B5F7A14" w14:textId="0F42D84A" w:rsidR="7D066A45" w:rsidRPr="00532D29" w:rsidRDefault="7D066A45" w:rsidP="5FBC1E8D">
      <w:pPr>
        <w:pStyle w:val="ListParagraph"/>
        <w:numPr>
          <w:ilvl w:val="0"/>
          <w:numId w:val="3"/>
        </w:numPr>
        <w:spacing w:after="0"/>
        <w:rPr>
          <w:rFonts w:ascii="Arial" w:eastAsia="Calibri" w:hAnsi="Arial" w:cs="Arial"/>
          <w:color w:val="565A66"/>
          <w:sz w:val="26"/>
          <w:szCs w:val="26"/>
        </w:rPr>
      </w:pPr>
      <w:r w:rsidRPr="00532D29">
        <w:rPr>
          <w:rFonts w:ascii="Arial" w:eastAsia="Calibri" w:hAnsi="Arial" w:cs="Arial"/>
          <w:color w:val="565A66"/>
          <w:sz w:val="26"/>
          <w:szCs w:val="26"/>
        </w:rPr>
        <w:t xml:space="preserve">the authority of the </w:t>
      </w:r>
      <w:r w:rsidR="0050765B" w:rsidRPr="00532D29">
        <w:rPr>
          <w:rFonts w:ascii="Arial" w:eastAsia="Calibri" w:hAnsi="Arial" w:cs="Arial"/>
          <w:color w:val="565A66"/>
          <w:sz w:val="26"/>
          <w:szCs w:val="26"/>
        </w:rPr>
        <w:t xml:space="preserve">Principal Officer </w:t>
      </w:r>
      <w:r w:rsidRPr="00532D29">
        <w:rPr>
          <w:rFonts w:ascii="Arial" w:eastAsia="Calibri" w:hAnsi="Arial" w:cs="Arial"/>
          <w:color w:val="565A66"/>
          <w:sz w:val="26"/>
          <w:szCs w:val="26"/>
        </w:rPr>
        <w:t xml:space="preserve"> under the Act to conduct the investigation</w:t>
      </w:r>
    </w:p>
    <w:p w14:paraId="35B89E3C" w14:textId="12704BCD" w:rsidR="7D066A45" w:rsidRPr="00532D29" w:rsidRDefault="7D066A45" w:rsidP="5FBC1E8D">
      <w:pPr>
        <w:pStyle w:val="ListParagraph"/>
        <w:numPr>
          <w:ilvl w:val="0"/>
          <w:numId w:val="3"/>
        </w:numPr>
        <w:spacing w:after="0"/>
        <w:rPr>
          <w:rFonts w:ascii="Arial" w:eastAsia="Calibri" w:hAnsi="Arial" w:cs="Arial"/>
          <w:color w:val="565A66"/>
          <w:sz w:val="26"/>
          <w:szCs w:val="26"/>
        </w:rPr>
      </w:pPr>
      <w:r w:rsidRPr="00532D29">
        <w:rPr>
          <w:rFonts w:ascii="Arial" w:eastAsia="Calibri" w:hAnsi="Arial" w:cs="Arial"/>
          <w:color w:val="565A66"/>
          <w:sz w:val="26"/>
          <w:szCs w:val="26"/>
        </w:rPr>
        <w:t xml:space="preserve">the protections provided by </w:t>
      </w:r>
      <w:r w:rsidR="00FE319C" w:rsidRPr="00532D29">
        <w:rPr>
          <w:rFonts w:ascii="Arial" w:eastAsia="Calibri" w:hAnsi="Arial" w:cs="Arial"/>
          <w:color w:val="565A66"/>
          <w:sz w:val="26"/>
          <w:szCs w:val="26"/>
        </w:rPr>
        <w:t xml:space="preserve">Part 2 </w:t>
      </w:r>
      <w:r w:rsidRPr="00532D29">
        <w:rPr>
          <w:rFonts w:ascii="Arial" w:eastAsia="Calibri" w:hAnsi="Arial" w:cs="Arial"/>
          <w:color w:val="565A66"/>
          <w:sz w:val="26"/>
          <w:szCs w:val="26"/>
        </w:rPr>
        <w:t>of the PID Act</w:t>
      </w:r>
    </w:p>
    <w:p w14:paraId="3C87149F" w14:textId="642164DE" w:rsidR="7D066A45" w:rsidRPr="00532D29" w:rsidRDefault="7D066A45" w:rsidP="5FBC1E8D">
      <w:pPr>
        <w:pStyle w:val="ListParagraph"/>
        <w:numPr>
          <w:ilvl w:val="0"/>
          <w:numId w:val="3"/>
        </w:numPr>
        <w:spacing w:after="0"/>
        <w:rPr>
          <w:rFonts w:ascii="Arial" w:eastAsia="Calibri" w:hAnsi="Arial" w:cs="Arial"/>
          <w:color w:val="565A66"/>
          <w:sz w:val="26"/>
          <w:szCs w:val="26"/>
        </w:rPr>
      </w:pPr>
      <w:r w:rsidRPr="00532D29">
        <w:rPr>
          <w:rFonts w:ascii="Arial" w:eastAsia="Calibri" w:hAnsi="Arial" w:cs="Arial"/>
          <w:color w:val="565A66"/>
          <w:sz w:val="26"/>
          <w:szCs w:val="26"/>
        </w:rPr>
        <w:t>if the interview will be recorded.</w:t>
      </w:r>
    </w:p>
    <w:p w14:paraId="171186A1" w14:textId="77777777" w:rsidR="00283287" w:rsidRPr="00532D29" w:rsidRDefault="00283287" w:rsidP="00973990">
      <w:pPr>
        <w:pStyle w:val="ListParagraph"/>
        <w:spacing w:after="0"/>
        <w:rPr>
          <w:rFonts w:ascii="Arial" w:eastAsia="Calibri" w:hAnsi="Arial" w:cs="Arial"/>
          <w:color w:val="565A66"/>
          <w:sz w:val="26"/>
          <w:szCs w:val="26"/>
        </w:rPr>
      </w:pPr>
    </w:p>
    <w:p w14:paraId="641EC6B6" w14:textId="0E66C147" w:rsidR="7D066A45" w:rsidRPr="00532D29" w:rsidRDefault="7D066A45" w:rsidP="005707A1">
      <w:pPr>
        <w:pStyle w:val="ListParagraph"/>
        <w:numPr>
          <w:ilvl w:val="0"/>
          <w:numId w:val="21"/>
        </w:numPr>
        <w:spacing w:after="0"/>
        <w:rPr>
          <w:rFonts w:ascii="Arial" w:eastAsia="Calibri" w:hAnsi="Arial" w:cs="Arial"/>
          <w:color w:val="565A66"/>
          <w:sz w:val="26"/>
          <w:szCs w:val="26"/>
        </w:rPr>
      </w:pPr>
      <w:r w:rsidRPr="00532D29">
        <w:rPr>
          <w:rFonts w:ascii="Arial" w:eastAsia="Calibri" w:hAnsi="Arial" w:cs="Arial"/>
          <w:color w:val="565A66"/>
          <w:sz w:val="26"/>
          <w:szCs w:val="26"/>
        </w:rPr>
        <w:t>When an interview ends, the interviewee is given an opportunity to make a final statement or comment, or express a position. Any final statement, comment or position by an interviewee is included in the record of the interview.</w:t>
      </w:r>
    </w:p>
    <w:p w14:paraId="5B4AB23F" w14:textId="77777777" w:rsidR="00283287" w:rsidRPr="00532D29" w:rsidRDefault="00283287" w:rsidP="00973990">
      <w:pPr>
        <w:pStyle w:val="ListParagraph"/>
        <w:spacing w:after="0"/>
        <w:rPr>
          <w:rFonts w:ascii="Arial" w:eastAsia="Calibri" w:hAnsi="Arial" w:cs="Arial"/>
          <w:color w:val="565A66"/>
          <w:sz w:val="26"/>
          <w:szCs w:val="26"/>
        </w:rPr>
      </w:pPr>
    </w:p>
    <w:p w14:paraId="38A8691D" w14:textId="6ED77905" w:rsidR="7D066A45" w:rsidRPr="00532D29" w:rsidRDefault="7D066A45" w:rsidP="005707A1">
      <w:pPr>
        <w:pStyle w:val="ListParagraph"/>
        <w:numPr>
          <w:ilvl w:val="0"/>
          <w:numId w:val="21"/>
        </w:numPr>
        <w:spacing w:after="0"/>
        <w:rPr>
          <w:rFonts w:ascii="Arial" w:eastAsia="Calibri" w:hAnsi="Arial" w:cs="Arial"/>
          <w:color w:val="565A66"/>
          <w:sz w:val="26"/>
          <w:szCs w:val="26"/>
        </w:rPr>
      </w:pPr>
      <w:r w:rsidRPr="00532D29">
        <w:rPr>
          <w:rFonts w:ascii="Arial" w:eastAsia="Calibri" w:hAnsi="Arial" w:cs="Arial"/>
          <w:color w:val="565A66"/>
          <w:sz w:val="26"/>
          <w:szCs w:val="26"/>
        </w:rPr>
        <w:t>If a person suspects on reasonable grounds that information obtained through the disclosure or investigation of the disclosure suggests that an offence has been committed, and the offence is punishable by imprisonment for life or for a period of at least 2 years, the person must notify the responsible Australian police force.</w:t>
      </w:r>
    </w:p>
    <w:p w14:paraId="5B4B15BC" w14:textId="77777777" w:rsidR="00283287" w:rsidRPr="00532D29" w:rsidRDefault="00283287" w:rsidP="00973990">
      <w:pPr>
        <w:pStyle w:val="ListParagraph"/>
        <w:spacing w:after="0"/>
        <w:rPr>
          <w:rFonts w:ascii="Arial" w:eastAsia="Calibri" w:hAnsi="Arial" w:cs="Arial"/>
          <w:color w:val="565A66"/>
          <w:sz w:val="26"/>
          <w:szCs w:val="26"/>
        </w:rPr>
      </w:pPr>
    </w:p>
    <w:p w14:paraId="3714197B" w14:textId="6448E376" w:rsidR="7D066A45" w:rsidRPr="00532D29" w:rsidRDefault="7D066A45" w:rsidP="005707A1">
      <w:pPr>
        <w:pStyle w:val="ListParagraph"/>
        <w:numPr>
          <w:ilvl w:val="0"/>
          <w:numId w:val="21"/>
        </w:numPr>
        <w:spacing w:after="0"/>
        <w:rPr>
          <w:rFonts w:ascii="Arial" w:eastAsia="Calibri" w:hAnsi="Arial" w:cs="Arial"/>
          <w:color w:val="565A66"/>
          <w:sz w:val="26"/>
          <w:szCs w:val="26"/>
        </w:rPr>
      </w:pPr>
      <w:r w:rsidRPr="00532D29">
        <w:rPr>
          <w:rFonts w:ascii="Arial" w:eastAsia="Calibri" w:hAnsi="Arial" w:cs="Arial"/>
          <w:color w:val="565A66"/>
          <w:sz w:val="26"/>
          <w:szCs w:val="26"/>
        </w:rPr>
        <w:t>Investigations into disclosures must address whether there may be a breach of the APS Code of Conduct and whether, in the event of a breach, misconduct proceedings should be considered.</w:t>
      </w:r>
    </w:p>
    <w:p w14:paraId="4CD43B3D" w14:textId="77777777" w:rsidR="00283287" w:rsidRPr="00532D29" w:rsidRDefault="00283287" w:rsidP="5FBC1E8D">
      <w:pPr>
        <w:pStyle w:val="Heading3"/>
        <w:rPr>
          <w:rFonts w:ascii="Arial" w:eastAsia="Calibri" w:hAnsi="Arial" w:cs="Arial"/>
          <w:color w:val="004D7D"/>
          <w:sz w:val="36"/>
          <w:szCs w:val="36"/>
        </w:rPr>
      </w:pPr>
    </w:p>
    <w:p w14:paraId="5B0B3F3E" w14:textId="389525B4" w:rsidR="7D066A45" w:rsidRPr="00532D29" w:rsidRDefault="7D066A45" w:rsidP="5FBC1E8D">
      <w:pPr>
        <w:pStyle w:val="Heading3"/>
        <w:rPr>
          <w:rFonts w:ascii="Arial" w:hAnsi="Arial" w:cs="Arial"/>
        </w:rPr>
      </w:pPr>
      <w:bookmarkStart w:id="16" w:name="_Toc151125749"/>
      <w:r w:rsidRPr="00532D29">
        <w:rPr>
          <w:rFonts w:ascii="Arial" w:eastAsia="Calibri" w:hAnsi="Arial" w:cs="Arial"/>
          <w:color w:val="004D7D"/>
          <w:sz w:val="36"/>
          <w:szCs w:val="36"/>
        </w:rPr>
        <w:t>Investigation report</w:t>
      </w:r>
      <w:bookmarkEnd w:id="16"/>
    </w:p>
    <w:p w14:paraId="6A608C60" w14:textId="5F84359B"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An investigation report must be completed within 90 days of the matter being allocated for investigation, unless an extension is granted by the Ombudsman pursuant to subsection 52(3) of the PID Act. If it is reasonably practicable to contact the discloser, they must be notified of any extension of time in which to complete the report and then provided with a copy of the report.</w:t>
      </w:r>
    </w:p>
    <w:p w14:paraId="5DBE6EF7" w14:textId="77777777" w:rsidR="00C801B2" w:rsidRPr="00532D29" w:rsidRDefault="00C801B2" w:rsidP="00C801B2">
      <w:pPr>
        <w:pStyle w:val="ListParagraph"/>
        <w:rPr>
          <w:rFonts w:ascii="Arial" w:hAnsi="Arial" w:cs="Arial"/>
          <w:sz w:val="26"/>
          <w:szCs w:val="26"/>
        </w:rPr>
      </w:pPr>
    </w:p>
    <w:p w14:paraId="41EADAEA" w14:textId="2C08840B"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 xml:space="preserve">The report must </w:t>
      </w:r>
      <w:r w:rsidR="00253F23" w:rsidRPr="00532D29">
        <w:rPr>
          <w:rFonts w:ascii="Arial" w:eastAsia="Calibri" w:hAnsi="Arial" w:cs="Arial"/>
          <w:color w:val="565A66"/>
          <w:sz w:val="26"/>
          <w:szCs w:val="26"/>
        </w:rPr>
        <w:t xml:space="preserve">(where relevant) </w:t>
      </w:r>
      <w:r w:rsidRPr="00532D29">
        <w:rPr>
          <w:rFonts w:ascii="Arial" w:eastAsia="Calibri" w:hAnsi="Arial" w:cs="Arial"/>
          <w:color w:val="565A66"/>
          <w:sz w:val="26"/>
          <w:szCs w:val="26"/>
        </w:rPr>
        <w:t>set out:</w:t>
      </w:r>
    </w:p>
    <w:p w14:paraId="3C382695" w14:textId="3B1BFF01" w:rsidR="7D066A45" w:rsidRPr="00532D29" w:rsidRDefault="7D066A45" w:rsidP="00520BF3">
      <w:pPr>
        <w:pStyle w:val="ListParagraph"/>
        <w:numPr>
          <w:ilvl w:val="0"/>
          <w:numId w:val="15"/>
        </w:numPr>
        <w:spacing w:after="0"/>
        <w:rPr>
          <w:rFonts w:ascii="Arial" w:eastAsia="Calibri" w:hAnsi="Arial" w:cs="Arial"/>
          <w:color w:val="565A66"/>
          <w:sz w:val="26"/>
          <w:szCs w:val="26"/>
        </w:rPr>
      </w:pPr>
      <w:r w:rsidRPr="00532D29">
        <w:rPr>
          <w:rFonts w:ascii="Arial" w:eastAsia="Calibri" w:hAnsi="Arial" w:cs="Arial"/>
          <w:color w:val="565A66"/>
          <w:sz w:val="26"/>
          <w:szCs w:val="26"/>
        </w:rPr>
        <w:t>the matters considered by the investigation</w:t>
      </w:r>
    </w:p>
    <w:p w14:paraId="63241481" w14:textId="4F809909" w:rsidR="7D066A45" w:rsidRPr="00532D29" w:rsidRDefault="7D066A45" w:rsidP="00520BF3">
      <w:pPr>
        <w:pStyle w:val="ListParagraph"/>
        <w:numPr>
          <w:ilvl w:val="0"/>
          <w:numId w:val="15"/>
        </w:numPr>
        <w:spacing w:after="0"/>
        <w:rPr>
          <w:rFonts w:ascii="Arial" w:eastAsia="Calibri" w:hAnsi="Arial" w:cs="Arial"/>
          <w:color w:val="565A66"/>
          <w:sz w:val="26"/>
          <w:szCs w:val="26"/>
        </w:rPr>
      </w:pPr>
      <w:r w:rsidRPr="00532D29">
        <w:rPr>
          <w:rFonts w:ascii="Arial" w:eastAsia="Calibri" w:hAnsi="Arial" w:cs="Arial"/>
          <w:color w:val="565A66"/>
          <w:sz w:val="26"/>
          <w:szCs w:val="26"/>
        </w:rPr>
        <w:lastRenderedPageBreak/>
        <w:t>the duration of the investigation</w:t>
      </w:r>
    </w:p>
    <w:p w14:paraId="428737AA" w14:textId="7AF67A1F" w:rsidR="7D066A45" w:rsidRPr="00532D29" w:rsidRDefault="7D066A45" w:rsidP="00520BF3">
      <w:pPr>
        <w:pStyle w:val="ListParagraph"/>
        <w:numPr>
          <w:ilvl w:val="0"/>
          <w:numId w:val="15"/>
        </w:numPr>
        <w:spacing w:after="0"/>
        <w:rPr>
          <w:rFonts w:ascii="Arial" w:eastAsia="Calibri" w:hAnsi="Arial" w:cs="Arial"/>
          <w:color w:val="565A66"/>
          <w:sz w:val="26"/>
          <w:szCs w:val="26"/>
        </w:rPr>
      </w:pPr>
      <w:r w:rsidRPr="00532D29">
        <w:rPr>
          <w:rFonts w:ascii="Arial" w:eastAsia="Calibri" w:hAnsi="Arial" w:cs="Arial"/>
          <w:color w:val="565A66"/>
          <w:sz w:val="26"/>
          <w:szCs w:val="26"/>
        </w:rPr>
        <w:t>the findings of the investigation:</w:t>
      </w:r>
      <w:r w:rsidRPr="00532D29">
        <w:rPr>
          <w:rFonts w:ascii="Arial" w:hAnsi="Arial" w:cs="Arial"/>
        </w:rPr>
        <w:br/>
      </w:r>
    </w:p>
    <w:p w14:paraId="32789976" w14:textId="34F5BED6" w:rsidR="7D066A45" w:rsidRPr="00532D29" w:rsidRDefault="7D066A45" w:rsidP="00520BF3">
      <w:pPr>
        <w:pStyle w:val="ListParagraph"/>
        <w:numPr>
          <w:ilvl w:val="0"/>
          <w:numId w:val="16"/>
        </w:numPr>
        <w:spacing w:after="0"/>
        <w:rPr>
          <w:rFonts w:ascii="Arial" w:eastAsia="Calibri" w:hAnsi="Arial" w:cs="Arial"/>
          <w:color w:val="565A66"/>
          <w:sz w:val="26"/>
          <w:szCs w:val="26"/>
        </w:rPr>
      </w:pPr>
      <w:r w:rsidRPr="00532D29">
        <w:rPr>
          <w:rFonts w:ascii="Arial" w:eastAsia="Calibri" w:hAnsi="Arial" w:cs="Arial"/>
          <w:color w:val="565A66"/>
          <w:sz w:val="26"/>
          <w:szCs w:val="26"/>
        </w:rPr>
        <w:t>identify whether there have been any instances of disclosable conduct</w:t>
      </w:r>
    </w:p>
    <w:p w14:paraId="1AC13181" w14:textId="2C3F78B7" w:rsidR="7D066A45" w:rsidRPr="00532D29" w:rsidRDefault="7D066A45" w:rsidP="00520BF3">
      <w:pPr>
        <w:pStyle w:val="ListParagraph"/>
        <w:numPr>
          <w:ilvl w:val="0"/>
          <w:numId w:val="16"/>
        </w:numPr>
        <w:spacing w:after="0"/>
        <w:rPr>
          <w:rFonts w:ascii="Arial" w:eastAsia="Calibri" w:hAnsi="Arial" w:cs="Arial"/>
          <w:color w:val="565A66"/>
          <w:sz w:val="26"/>
          <w:szCs w:val="26"/>
        </w:rPr>
      </w:pPr>
      <w:r w:rsidRPr="00532D29">
        <w:rPr>
          <w:rFonts w:ascii="Arial" w:eastAsia="Calibri" w:hAnsi="Arial" w:cs="Arial"/>
          <w:color w:val="565A66"/>
          <w:sz w:val="26"/>
          <w:szCs w:val="26"/>
        </w:rPr>
        <w:t>identify any regulations, rules, administrative requirements or similar matters to which the disclosable conduct relates</w:t>
      </w:r>
    </w:p>
    <w:p w14:paraId="342F34B9" w14:textId="1EEC321C" w:rsidR="7D066A45" w:rsidRPr="00532D29" w:rsidRDefault="7D066A45" w:rsidP="00520BF3">
      <w:pPr>
        <w:pStyle w:val="ListParagraph"/>
        <w:numPr>
          <w:ilvl w:val="0"/>
          <w:numId w:val="16"/>
        </w:numPr>
        <w:spacing w:after="0"/>
        <w:rPr>
          <w:rFonts w:ascii="Arial" w:eastAsia="Calibri" w:hAnsi="Arial" w:cs="Arial"/>
          <w:color w:val="565A66"/>
          <w:sz w:val="26"/>
          <w:szCs w:val="26"/>
        </w:rPr>
      </w:pPr>
      <w:r w:rsidRPr="00532D29">
        <w:rPr>
          <w:rFonts w:ascii="Arial" w:eastAsia="Calibri" w:hAnsi="Arial" w:cs="Arial"/>
          <w:color w:val="565A66"/>
          <w:sz w:val="26"/>
          <w:szCs w:val="26"/>
        </w:rPr>
        <w:t>explain the steps taken to gather evidence</w:t>
      </w:r>
    </w:p>
    <w:p w14:paraId="22F50E29" w14:textId="17D49BD8" w:rsidR="7D066A45" w:rsidRPr="00532D29" w:rsidRDefault="7D066A45" w:rsidP="00520BF3">
      <w:pPr>
        <w:pStyle w:val="ListParagraph"/>
        <w:numPr>
          <w:ilvl w:val="0"/>
          <w:numId w:val="16"/>
        </w:numPr>
        <w:spacing w:after="0"/>
        <w:rPr>
          <w:rFonts w:ascii="Arial" w:eastAsia="Calibri" w:hAnsi="Arial" w:cs="Arial"/>
          <w:color w:val="565A66"/>
          <w:sz w:val="26"/>
          <w:szCs w:val="26"/>
        </w:rPr>
      </w:pPr>
      <w:r w:rsidRPr="00532D29">
        <w:rPr>
          <w:rFonts w:ascii="Arial" w:eastAsia="Calibri" w:hAnsi="Arial" w:cs="Arial"/>
          <w:color w:val="565A66"/>
          <w:sz w:val="26"/>
          <w:szCs w:val="26"/>
        </w:rPr>
        <w:t>include a summary of the evidence and other matters considered in the investigation, as well as any findings and recommendations made based on that evidence</w:t>
      </w:r>
    </w:p>
    <w:p w14:paraId="62C5BFFD" w14:textId="36379AD5" w:rsidR="7D066A45" w:rsidRPr="00532D29" w:rsidRDefault="7D066A45" w:rsidP="00520BF3">
      <w:pPr>
        <w:pStyle w:val="ListParagraph"/>
        <w:numPr>
          <w:ilvl w:val="0"/>
          <w:numId w:val="16"/>
        </w:numPr>
        <w:spacing w:after="0"/>
        <w:rPr>
          <w:rFonts w:ascii="Arial" w:eastAsia="Calibri" w:hAnsi="Arial" w:cs="Arial"/>
          <w:color w:val="565A66"/>
          <w:sz w:val="26"/>
          <w:szCs w:val="26"/>
        </w:rPr>
      </w:pPr>
      <w:r w:rsidRPr="00532D29">
        <w:rPr>
          <w:rFonts w:ascii="Arial" w:eastAsia="Calibri" w:hAnsi="Arial" w:cs="Arial"/>
          <w:color w:val="565A66"/>
          <w:sz w:val="26"/>
          <w:szCs w:val="26"/>
        </w:rPr>
        <w:t>any claims made about, and any evidence of, detrimental action taken against the discloser, and the agency's response to those claims and that evidence.</w:t>
      </w:r>
    </w:p>
    <w:p w14:paraId="0BF8FBA8" w14:textId="77777777" w:rsidR="00520BF3" w:rsidRPr="00532D29" w:rsidRDefault="00520BF3" w:rsidP="5FBC1E8D">
      <w:pPr>
        <w:rPr>
          <w:rFonts w:ascii="Arial" w:eastAsia="Calibri" w:hAnsi="Arial" w:cs="Arial"/>
          <w:color w:val="565A66"/>
          <w:sz w:val="26"/>
          <w:szCs w:val="26"/>
        </w:rPr>
      </w:pPr>
    </w:p>
    <w:p w14:paraId="03D8B998" w14:textId="5CD42ED8"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The Director, Corporate must also provide the Ombudsman with information about disclosures TEQSA has handled in accordance with section 15 of the Public Interest Disclosure Standard 2013.</w:t>
      </w:r>
    </w:p>
    <w:p w14:paraId="04DC598C" w14:textId="77777777" w:rsidR="00C801B2" w:rsidRPr="00532D29" w:rsidRDefault="00C801B2" w:rsidP="00C801B2">
      <w:pPr>
        <w:rPr>
          <w:rFonts w:ascii="Arial" w:hAnsi="Arial" w:cs="Arial"/>
        </w:rPr>
      </w:pPr>
    </w:p>
    <w:p w14:paraId="582EA5FE" w14:textId="11B3F9A7" w:rsidR="7D066A45" w:rsidRPr="00532D29" w:rsidRDefault="7D066A45" w:rsidP="5FBC1E8D">
      <w:pPr>
        <w:pStyle w:val="Heading3"/>
        <w:rPr>
          <w:rFonts w:ascii="Arial" w:hAnsi="Arial" w:cs="Arial"/>
        </w:rPr>
      </w:pPr>
      <w:bookmarkStart w:id="17" w:name="_Toc151125750"/>
      <w:r w:rsidRPr="00532D29">
        <w:rPr>
          <w:rFonts w:ascii="Arial" w:eastAsia="Calibri" w:hAnsi="Arial" w:cs="Arial"/>
          <w:color w:val="004D7D"/>
          <w:sz w:val="36"/>
          <w:szCs w:val="36"/>
        </w:rPr>
        <w:t>Record keeping</w:t>
      </w:r>
      <w:bookmarkEnd w:id="17"/>
    </w:p>
    <w:p w14:paraId="5767A5D6" w14:textId="4E810D9D"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The records must include details about how and when a public interest disclosure was made. If the disclosure was made orally, consideration should be given to asking the discloser to sign a record of the disclosure.</w:t>
      </w:r>
    </w:p>
    <w:p w14:paraId="2A1E134E" w14:textId="77777777" w:rsidR="00C801B2" w:rsidRPr="00532D29" w:rsidRDefault="00C801B2" w:rsidP="00C801B2">
      <w:pPr>
        <w:pStyle w:val="ListParagraph"/>
        <w:rPr>
          <w:rFonts w:ascii="Arial" w:hAnsi="Arial" w:cs="Arial"/>
        </w:rPr>
      </w:pPr>
    </w:p>
    <w:p w14:paraId="1A21C5FB" w14:textId="6DB3E9D2"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The records should be factual and free from unnecessary statements and personal opinion and include:</w:t>
      </w:r>
    </w:p>
    <w:p w14:paraId="3383164D" w14:textId="54B16F87" w:rsidR="7D066A45" w:rsidRPr="00532D29" w:rsidRDefault="7D066A45" w:rsidP="00520BF3">
      <w:pPr>
        <w:pStyle w:val="ListParagraph"/>
        <w:numPr>
          <w:ilvl w:val="0"/>
          <w:numId w:val="17"/>
        </w:numPr>
        <w:spacing w:after="0"/>
        <w:rPr>
          <w:rFonts w:ascii="Arial" w:eastAsia="Calibri" w:hAnsi="Arial" w:cs="Arial"/>
          <w:color w:val="565A66"/>
          <w:sz w:val="26"/>
          <w:szCs w:val="26"/>
        </w:rPr>
      </w:pPr>
      <w:r w:rsidRPr="00532D29">
        <w:rPr>
          <w:rFonts w:ascii="Arial" w:eastAsia="Calibri" w:hAnsi="Arial" w:cs="Arial"/>
          <w:color w:val="565A66"/>
          <w:sz w:val="26"/>
          <w:szCs w:val="26"/>
        </w:rPr>
        <w:t>a record of subsequent conversations where the disclosure is discussed</w:t>
      </w:r>
    </w:p>
    <w:p w14:paraId="756E46AA" w14:textId="7D1916E7" w:rsidR="7D066A45" w:rsidRPr="00532D29" w:rsidRDefault="7D066A45" w:rsidP="00520BF3">
      <w:pPr>
        <w:pStyle w:val="ListParagraph"/>
        <w:numPr>
          <w:ilvl w:val="0"/>
          <w:numId w:val="17"/>
        </w:numPr>
        <w:spacing w:after="0"/>
        <w:rPr>
          <w:rFonts w:ascii="Arial" w:eastAsia="Calibri" w:hAnsi="Arial" w:cs="Arial"/>
          <w:color w:val="565A66"/>
          <w:sz w:val="26"/>
          <w:szCs w:val="26"/>
        </w:rPr>
      </w:pPr>
      <w:r w:rsidRPr="00532D29">
        <w:rPr>
          <w:rFonts w:ascii="Arial" w:eastAsia="Calibri" w:hAnsi="Arial" w:cs="Arial"/>
          <w:color w:val="565A66"/>
          <w:sz w:val="26"/>
          <w:szCs w:val="26"/>
        </w:rPr>
        <w:t>a unique reference number allocated to each disclosure</w:t>
      </w:r>
    </w:p>
    <w:p w14:paraId="348D0193" w14:textId="7FEE1E71" w:rsidR="7D066A45" w:rsidRPr="00532D29" w:rsidRDefault="7D066A45" w:rsidP="00973990">
      <w:pPr>
        <w:pStyle w:val="ListParagraph"/>
        <w:numPr>
          <w:ilvl w:val="0"/>
          <w:numId w:val="17"/>
        </w:numPr>
        <w:spacing w:after="0"/>
        <w:rPr>
          <w:rFonts w:ascii="Arial" w:eastAsia="Calibri" w:hAnsi="Arial" w:cs="Arial"/>
          <w:color w:val="565A66"/>
          <w:sz w:val="26"/>
          <w:szCs w:val="26"/>
        </w:rPr>
      </w:pPr>
      <w:r w:rsidRPr="00532D29">
        <w:rPr>
          <w:rFonts w:ascii="Arial" w:eastAsia="Calibri" w:hAnsi="Arial" w:cs="Arial"/>
          <w:color w:val="565A66"/>
          <w:sz w:val="26"/>
          <w:szCs w:val="26"/>
        </w:rPr>
        <w:t>details of the reprisal risk assessment, allocation, the investigation, notifications to the discloser and others. These include, in particular</w:t>
      </w:r>
      <w:r w:rsidR="00A31315" w:rsidRPr="00532D29">
        <w:rPr>
          <w:rFonts w:ascii="Arial" w:eastAsia="Calibri" w:hAnsi="Arial" w:cs="Arial"/>
          <w:color w:val="565A66"/>
          <w:sz w:val="26"/>
          <w:szCs w:val="26"/>
        </w:rPr>
        <w:t xml:space="preserve"> those </w:t>
      </w:r>
      <w:r w:rsidR="00DC2D68" w:rsidRPr="00532D29">
        <w:rPr>
          <w:rFonts w:ascii="Arial" w:eastAsia="Calibri" w:hAnsi="Arial" w:cs="Arial"/>
          <w:color w:val="565A66"/>
          <w:sz w:val="26"/>
          <w:szCs w:val="26"/>
        </w:rPr>
        <w:t>records</w:t>
      </w:r>
      <w:r w:rsidR="00A31315" w:rsidRPr="00532D29">
        <w:rPr>
          <w:rFonts w:ascii="Arial" w:eastAsia="Calibri" w:hAnsi="Arial" w:cs="Arial"/>
          <w:color w:val="565A66"/>
          <w:sz w:val="26"/>
          <w:szCs w:val="26"/>
        </w:rPr>
        <w:t xml:space="preserve"> </w:t>
      </w:r>
      <w:r w:rsidR="00DC2D68" w:rsidRPr="00532D29">
        <w:rPr>
          <w:rFonts w:ascii="Arial" w:eastAsia="Calibri" w:hAnsi="Arial" w:cs="Arial"/>
          <w:color w:val="565A66"/>
          <w:sz w:val="26"/>
          <w:szCs w:val="26"/>
        </w:rPr>
        <w:t>covered by paragraph 37 above.</w:t>
      </w:r>
    </w:p>
    <w:p w14:paraId="1CD7D058" w14:textId="7F09C7BF" w:rsidR="00C801B2" w:rsidRPr="00532D29" w:rsidRDefault="7D066A45" w:rsidP="00C801B2">
      <w:pPr>
        <w:pStyle w:val="ListParagraph"/>
        <w:numPr>
          <w:ilvl w:val="0"/>
          <w:numId w:val="17"/>
        </w:numPr>
        <w:spacing w:after="0"/>
        <w:rPr>
          <w:rFonts w:ascii="Arial" w:eastAsia="Calibri" w:hAnsi="Arial" w:cs="Arial"/>
          <w:color w:val="565A66"/>
          <w:sz w:val="26"/>
          <w:szCs w:val="26"/>
        </w:rPr>
      </w:pPr>
      <w:r w:rsidRPr="00532D29">
        <w:rPr>
          <w:rFonts w:ascii="Arial" w:eastAsia="Calibri" w:hAnsi="Arial" w:cs="Arial"/>
          <w:color w:val="565A66"/>
          <w:sz w:val="26"/>
          <w:szCs w:val="26"/>
        </w:rPr>
        <w:t xml:space="preserve">any other records necessary to allow the Ombudsman to review the matter </w:t>
      </w:r>
      <w:r w:rsidR="00576BF3" w:rsidRPr="00532D29">
        <w:rPr>
          <w:rFonts w:ascii="Arial" w:eastAsia="Calibri" w:hAnsi="Arial" w:cs="Arial"/>
          <w:color w:val="565A66"/>
          <w:sz w:val="26"/>
          <w:szCs w:val="26"/>
        </w:rPr>
        <w:t xml:space="preserve">if this were to be </w:t>
      </w:r>
      <w:r w:rsidRPr="00532D29">
        <w:rPr>
          <w:rFonts w:ascii="Arial" w:eastAsia="Calibri" w:hAnsi="Arial" w:cs="Arial"/>
          <w:color w:val="565A66"/>
          <w:sz w:val="26"/>
          <w:szCs w:val="26"/>
        </w:rPr>
        <w:t>required.</w:t>
      </w:r>
    </w:p>
    <w:p w14:paraId="49C85DD9" w14:textId="77777777" w:rsidR="00C801B2" w:rsidRPr="00532D29" w:rsidRDefault="00C801B2" w:rsidP="00C801B2">
      <w:pPr>
        <w:spacing w:after="0"/>
        <w:rPr>
          <w:rFonts w:ascii="Arial" w:eastAsia="Calibri" w:hAnsi="Arial" w:cs="Arial"/>
          <w:color w:val="565A66"/>
          <w:sz w:val="26"/>
          <w:szCs w:val="26"/>
        </w:rPr>
      </w:pPr>
    </w:p>
    <w:p w14:paraId="0D78C2E4" w14:textId="04612966" w:rsidR="7D066A45" w:rsidRPr="00532D29" w:rsidRDefault="00FA301B" w:rsidP="5FBC1E8D">
      <w:pPr>
        <w:pStyle w:val="Heading2"/>
        <w:rPr>
          <w:rFonts w:ascii="Arial" w:hAnsi="Arial" w:cs="Arial"/>
        </w:rPr>
      </w:pPr>
      <w:bookmarkStart w:id="18" w:name="_Toc151125751"/>
      <w:r w:rsidRPr="00532D29">
        <w:rPr>
          <w:rFonts w:ascii="Arial" w:eastAsia="Calibri" w:hAnsi="Arial" w:cs="Arial"/>
          <w:color w:val="004D7D"/>
          <w:sz w:val="42"/>
          <w:szCs w:val="42"/>
        </w:rPr>
        <w:lastRenderedPageBreak/>
        <w:t>6</w:t>
      </w:r>
      <w:r w:rsidR="7D066A45" w:rsidRPr="00532D29">
        <w:rPr>
          <w:rFonts w:ascii="Arial" w:eastAsia="Calibri" w:hAnsi="Arial" w:cs="Arial"/>
          <w:color w:val="004D7D"/>
          <w:sz w:val="42"/>
          <w:szCs w:val="42"/>
        </w:rPr>
        <w:t>. Review of process and outcome</w:t>
      </w:r>
      <w:bookmarkEnd w:id="18"/>
    </w:p>
    <w:p w14:paraId="5F742D81" w14:textId="21F79BEB"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Employees, and others, who are not satisfied with the review process or the outcome of an internal investigation may pursue a complaint with the Commonwealth Ombudsman. The Ombudsman may also investigate matters referred directly to the Ombudsman.</w:t>
      </w:r>
    </w:p>
    <w:p w14:paraId="1E24199A" w14:textId="77777777" w:rsidR="00C801B2" w:rsidRPr="00532D29" w:rsidRDefault="00C801B2" w:rsidP="00C801B2">
      <w:pPr>
        <w:ind w:left="360"/>
        <w:rPr>
          <w:rFonts w:ascii="Arial" w:hAnsi="Arial" w:cs="Arial"/>
        </w:rPr>
      </w:pPr>
    </w:p>
    <w:p w14:paraId="4FE93B89" w14:textId="1B0AAC2E" w:rsidR="7D066A45" w:rsidRPr="00532D29" w:rsidRDefault="00FA301B" w:rsidP="5FBC1E8D">
      <w:pPr>
        <w:pStyle w:val="Heading2"/>
        <w:rPr>
          <w:rFonts w:ascii="Arial" w:hAnsi="Arial" w:cs="Arial"/>
        </w:rPr>
      </w:pPr>
      <w:bookmarkStart w:id="19" w:name="_Toc151125752"/>
      <w:r w:rsidRPr="00532D29">
        <w:rPr>
          <w:rFonts w:ascii="Arial" w:eastAsia="Calibri" w:hAnsi="Arial" w:cs="Arial"/>
          <w:color w:val="004D7D"/>
          <w:sz w:val="42"/>
          <w:szCs w:val="42"/>
        </w:rPr>
        <w:t>7</w:t>
      </w:r>
      <w:r w:rsidR="7D066A45" w:rsidRPr="00532D29">
        <w:rPr>
          <w:rFonts w:ascii="Arial" w:eastAsia="Calibri" w:hAnsi="Arial" w:cs="Arial"/>
          <w:color w:val="004D7D"/>
          <w:sz w:val="42"/>
          <w:szCs w:val="42"/>
        </w:rPr>
        <w:t>. Questions</w:t>
      </w:r>
      <w:bookmarkEnd w:id="19"/>
    </w:p>
    <w:p w14:paraId="1BAF19BD" w14:textId="229054FB" w:rsidR="7D066A45" w:rsidRPr="00532D29" w:rsidRDefault="7D066A45" w:rsidP="005707A1">
      <w:pPr>
        <w:pStyle w:val="ListParagraph"/>
        <w:numPr>
          <w:ilvl w:val="0"/>
          <w:numId w:val="21"/>
        </w:numPr>
        <w:rPr>
          <w:rFonts w:ascii="Arial" w:hAnsi="Arial" w:cs="Arial"/>
        </w:rPr>
      </w:pPr>
      <w:r w:rsidRPr="00532D29">
        <w:rPr>
          <w:rFonts w:ascii="Arial" w:eastAsia="Calibri" w:hAnsi="Arial" w:cs="Arial"/>
          <w:color w:val="565A66"/>
          <w:sz w:val="26"/>
          <w:szCs w:val="26"/>
        </w:rPr>
        <w:t xml:space="preserve">Questions on the </w:t>
      </w:r>
      <w:r w:rsidR="004E3A17" w:rsidRPr="00532D29">
        <w:rPr>
          <w:rFonts w:ascii="Arial" w:eastAsia="Calibri" w:hAnsi="Arial" w:cs="Arial"/>
          <w:color w:val="565A66"/>
          <w:sz w:val="26"/>
          <w:szCs w:val="26"/>
        </w:rPr>
        <w:t xml:space="preserve">Procedures </w:t>
      </w:r>
      <w:r w:rsidRPr="00532D29">
        <w:rPr>
          <w:rFonts w:ascii="Arial" w:eastAsia="Calibri" w:hAnsi="Arial" w:cs="Arial"/>
          <w:color w:val="565A66"/>
          <w:sz w:val="26"/>
          <w:szCs w:val="26"/>
        </w:rPr>
        <w:t>should be directed to TEQSA's General Counsel.</w:t>
      </w:r>
    </w:p>
    <w:p w14:paraId="0CB55E63" w14:textId="77777777" w:rsidR="00917E7A" w:rsidRPr="00532D29" w:rsidRDefault="00917E7A">
      <w:pPr>
        <w:rPr>
          <w:rFonts w:ascii="Arial" w:eastAsia="Calibri" w:hAnsi="Arial" w:cs="Arial"/>
          <w:color w:val="565A66"/>
          <w:sz w:val="26"/>
          <w:szCs w:val="26"/>
        </w:rPr>
      </w:pPr>
    </w:p>
    <w:p w14:paraId="7F246252" w14:textId="51900CF9" w:rsidR="7D066A45" w:rsidRPr="00532D29" w:rsidRDefault="00FA301B">
      <w:pPr>
        <w:rPr>
          <w:rFonts w:ascii="Arial" w:hAnsi="Arial" w:cs="Arial"/>
        </w:rPr>
      </w:pPr>
      <w:r w:rsidRPr="00532D29">
        <w:rPr>
          <w:rFonts w:ascii="Arial" w:eastAsia="Calibri" w:hAnsi="Arial" w:cs="Arial"/>
          <w:color w:val="565A66"/>
          <w:sz w:val="26"/>
          <w:szCs w:val="26"/>
        </w:rPr>
        <w:t>2</w:t>
      </w:r>
      <w:r w:rsidR="1B3AEED6" w:rsidRPr="00532D29">
        <w:rPr>
          <w:rFonts w:ascii="Arial" w:eastAsia="Calibri" w:hAnsi="Arial" w:cs="Arial"/>
          <w:color w:val="565A66"/>
          <w:sz w:val="26"/>
          <w:szCs w:val="26"/>
        </w:rPr>
        <w:t>7</w:t>
      </w:r>
      <w:r w:rsidRPr="00532D29">
        <w:rPr>
          <w:rFonts w:ascii="Arial" w:eastAsia="Calibri" w:hAnsi="Arial" w:cs="Arial"/>
          <w:color w:val="565A66"/>
          <w:sz w:val="26"/>
          <w:szCs w:val="26"/>
        </w:rPr>
        <w:t xml:space="preserve"> November 2023</w:t>
      </w:r>
    </w:p>
    <w:p w14:paraId="2A0998F7" w14:textId="563CD939" w:rsidR="00D70D15" w:rsidRPr="00532D29" w:rsidRDefault="7D066A45" w:rsidP="5FBC1E8D">
      <w:pPr>
        <w:rPr>
          <w:rFonts w:ascii="Arial" w:hAnsi="Arial" w:cs="Arial"/>
        </w:rPr>
      </w:pPr>
      <w:r w:rsidRPr="00532D29">
        <w:rPr>
          <w:rFonts w:ascii="Arial" w:hAnsi="Arial" w:cs="Arial"/>
        </w:rPr>
        <w:br/>
      </w:r>
    </w:p>
    <w:sectPr w:rsidR="00D70D15" w:rsidRPr="00532D29">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FA6DB7" w14:textId="77777777" w:rsidR="005C409B" w:rsidRDefault="005C409B" w:rsidP="00520BF3">
      <w:pPr>
        <w:spacing w:after="0" w:line="240" w:lineRule="auto"/>
      </w:pPr>
      <w:r>
        <w:separator/>
      </w:r>
    </w:p>
  </w:endnote>
  <w:endnote w:type="continuationSeparator" w:id="0">
    <w:p w14:paraId="1656E88D" w14:textId="77777777" w:rsidR="005C409B" w:rsidRDefault="005C409B" w:rsidP="00520BF3">
      <w:pPr>
        <w:spacing w:after="0" w:line="240" w:lineRule="auto"/>
      </w:pPr>
      <w:r>
        <w:continuationSeparator/>
      </w:r>
    </w:p>
  </w:endnote>
  <w:endnote w:type="continuationNotice" w:id="1">
    <w:p w14:paraId="498A3863" w14:textId="77777777" w:rsidR="005C409B" w:rsidRDefault="005C40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913EC" w14:textId="125B6062" w:rsidR="001B07EC" w:rsidRDefault="00234E4F">
    <w:pPr>
      <w:pStyle w:val="Footer"/>
    </w:pPr>
    <w:r>
      <w:rPr>
        <w:noProof/>
      </w:rPr>
      <mc:AlternateContent>
        <mc:Choice Requires="wps">
          <w:drawing>
            <wp:anchor distT="0" distB="0" distL="114300" distR="114300" simplePos="0" relativeHeight="251664389" behindDoc="0" locked="1" layoutInCell="0" allowOverlap="1" wp14:anchorId="568D3AAF" wp14:editId="2019653A">
              <wp:simplePos x="0" y="0"/>
              <wp:positionH relativeFrom="margin">
                <wp:align>center</wp:align>
              </wp:positionH>
              <wp:positionV relativeFrom="bottomMargin">
                <wp:align>center</wp:align>
              </wp:positionV>
              <wp:extent cx="892175" cy="287020"/>
              <wp:effectExtent l="0" t="0" r="0" b="0"/>
              <wp:wrapNone/>
              <wp:docPr id="2004752532" name="janusSEAL SC F_Even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701449" w14:textId="6DE72607" w:rsidR="00234E4F" w:rsidRPr="00234E4F" w:rsidRDefault="00234E4F" w:rsidP="00234E4F">
                          <w:pPr>
                            <w:spacing w:after="0"/>
                            <w:jc w:val="center"/>
                            <w:rPr>
                              <w:rFonts w:ascii="Arial" w:hAnsi="Arial" w:cs="Arial"/>
                              <w:b/>
                              <w:color w:val="FF0000"/>
                              <w:sz w:val="24"/>
                            </w:rPr>
                          </w:pPr>
                          <w:r w:rsidRPr="00234E4F">
                            <w:rPr>
                              <w:rFonts w:ascii="Arial" w:hAnsi="Arial" w:cs="Arial"/>
                              <w:b/>
                              <w:color w:val="FF0000"/>
                              <w:sz w:val="24"/>
                            </w:rPr>
                            <w:fldChar w:fldCharType="begin"/>
                          </w:r>
                          <w:r w:rsidRPr="00234E4F">
                            <w:rPr>
                              <w:rFonts w:ascii="Arial" w:hAnsi="Arial" w:cs="Arial"/>
                              <w:b/>
                              <w:color w:val="FF0000"/>
                              <w:sz w:val="24"/>
                            </w:rPr>
                            <w:instrText xml:space="preserve"> DOCPROPERTY PM_ProtectiveMarkingValue_Footer \* MERGEFORMAT </w:instrText>
                          </w:r>
                          <w:r w:rsidRPr="00234E4F">
                            <w:rPr>
                              <w:rFonts w:ascii="Arial" w:hAnsi="Arial" w:cs="Arial"/>
                              <w:b/>
                              <w:color w:val="FF0000"/>
                              <w:sz w:val="24"/>
                            </w:rPr>
                            <w:fldChar w:fldCharType="separate"/>
                          </w:r>
                          <w:r>
                            <w:rPr>
                              <w:rFonts w:ascii="Arial" w:hAnsi="Arial" w:cs="Arial"/>
                              <w:b/>
                              <w:color w:val="FF0000"/>
                              <w:sz w:val="24"/>
                            </w:rPr>
                            <w:t>OFFICIAL</w:t>
                          </w:r>
                          <w:r w:rsidRPr="00234E4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68D3AAF" id="_x0000_t202" coordsize="21600,21600" o:spt="202" path="m,l,21600r21600,l21600,xe">
              <v:stroke joinstyle="miter"/>
              <v:path gradientshapeok="t" o:connecttype="rect"/>
            </v:shapetype>
            <v:shape id="janusSEAL SC F_EvenPage" o:spid="_x0000_s1030" type="#_x0000_t202" style="position:absolute;margin-left:0;margin-top:0;width:70.25pt;height:22.6pt;z-index:251664389;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JrGAIAADE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" o:allowincell="f" filled="f" stroked="f" strokeweight=".5pt">
              <v:fill o:detectmouseclick="t"/>
              <v:textbox style="mso-fit-shape-to-text:t">
                <w:txbxContent>
                  <w:p w14:paraId="2B701449" w14:textId="6DE72607" w:rsidR="00234E4F" w:rsidRPr="00234E4F" w:rsidRDefault="00234E4F" w:rsidP="00234E4F">
                    <w:pPr>
                      <w:spacing w:after="0"/>
                      <w:jc w:val="center"/>
                      <w:rPr>
                        <w:rFonts w:ascii="Arial" w:hAnsi="Arial" w:cs="Arial"/>
                        <w:b/>
                        <w:color w:val="FF0000"/>
                        <w:sz w:val="24"/>
                      </w:rPr>
                    </w:pPr>
                    <w:r w:rsidRPr="00234E4F">
                      <w:rPr>
                        <w:rFonts w:ascii="Arial" w:hAnsi="Arial" w:cs="Arial"/>
                        <w:b/>
                        <w:color w:val="FF0000"/>
                        <w:sz w:val="24"/>
                      </w:rPr>
                      <w:fldChar w:fldCharType="begin"/>
                    </w:r>
                    <w:r w:rsidRPr="00234E4F">
                      <w:rPr>
                        <w:rFonts w:ascii="Arial" w:hAnsi="Arial" w:cs="Arial"/>
                        <w:b/>
                        <w:color w:val="FF0000"/>
                        <w:sz w:val="24"/>
                      </w:rPr>
                      <w:instrText xml:space="preserve"> DOCPROPERTY PM_ProtectiveMarkingValue_Footer \* MERGEFORMAT </w:instrText>
                    </w:r>
                    <w:r w:rsidRPr="00234E4F">
                      <w:rPr>
                        <w:rFonts w:ascii="Arial" w:hAnsi="Arial" w:cs="Arial"/>
                        <w:b/>
                        <w:color w:val="FF0000"/>
                        <w:sz w:val="24"/>
                      </w:rPr>
                      <w:fldChar w:fldCharType="separate"/>
                    </w:r>
                    <w:r>
                      <w:rPr>
                        <w:rFonts w:ascii="Arial" w:hAnsi="Arial" w:cs="Arial"/>
                        <w:b/>
                        <w:color w:val="FF0000"/>
                        <w:sz w:val="24"/>
                      </w:rPr>
                      <w:t>OFFICIAL</w:t>
                    </w:r>
                    <w:r w:rsidRPr="00234E4F">
                      <w:rPr>
                        <w:rFonts w:ascii="Arial" w:hAnsi="Arial" w:cs="Arial"/>
                        <w:b/>
                        <w:color w:val="FF0000"/>
                        <w:sz w:val="24"/>
                      </w:rPr>
                      <w:fldChar w:fldCharType="end"/>
                    </w:r>
                  </w:p>
                </w:txbxContent>
              </v:textbox>
              <w10:wrap anchorx="margin" anchory="margin"/>
              <w10:anchorlock/>
            </v:shape>
          </w:pict>
        </mc:Fallback>
      </mc:AlternateContent>
    </w:r>
    <w:r w:rsidR="001B07EC">
      <w:rPr>
        <w:noProof/>
      </w:rPr>
      <mc:AlternateContent>
        <mc:Choice Requires="wps">
          <w:drawing>
            <wp:anchor distT="0" distB="0" distL="114300" distR="114300" simplePos="0" relativeHeight="251658245" behindDoc="0" locked="1" layoutInCell="0" allowOverlap="1" wp14:anchorId="03FE1EEF" wp14:editId="6C320959">
              <wp:simplePos x="0" y="0"/>
              <wp:positionH relativeFrom="margin">
                <wp:align>center</wp:align>
              </wp:positionH>
              <wp:positionV relativeFrom="bottomMargin">
                <wp:align>center</wp:align>
              </wp:positionV>
              <wp:extent cx="892175" cy="287020"/>
              <wp:effectExtent l="0" t="0" r="0" b="0"/>
              <wp:wrapNone/>
              <wp:docPr id="2113477113" name="Text Box 2113477113"/>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1611EA" w14:textId="697D726C" w:rsidR="001B07EC" w:rsidRPr="001B07EC" w:rsidRDefault="001B07EC" w:rsidP="001B07EC">
                          <w:pPr>
                            <w:spacing w:after="0"/>
                            <w:jc w:val="center"/>
                            <w:rPr>
                              <w:rFonts w:ascii="Arial" w:hAnsi="Arial" w:cs="Arial"/>
                              <w:b/>
                              <w:color w:val="FF0000"/>
                              <w:sz w:val="24"/>
                            </w:rPr>
                          </w:pPr>
                          <w:r w:rsidRPr="001B07EC">
                            <w:rPr>
                              <w:rFonts w:ascii="Arial" w:hAnsi="Arial" w:cs="Arial"/>
                              <w:b/>
                              <w:color w:val="FF0000"/>
                              <w:sz w:val="24"/>
                            </w:rPr>
                            <w:fldChar w:fldCharType="begin"/>
                          </w:r>
                          <w:r w:rsidRPr="001B07EC">
                            <w:rPr>
                              <w:rFonts w:ascii="Arial" w:hAnsi="Arial" w:cs="Arial"/>
                              <w:b/>
                              <w:color w:val="FF0000"/>
                              <w:sz w:val="24"/>
                            </w:rPr>
                            <w:instrText xml:space="preserve"> DOCPROPERTY PM_ProtectiveMarkingValue_Footer \* MERGEFORMAT </w:instrText>
                          </w:r>
                          <w:r w:rsidRPr="001B07EC">
                            <w:rPr>
                              <w:rFonts w:ascii="Arial" w:hAnsi="Arial" w:cs="Arial"/>
                              <w:b/>
                              <w:color w:val="FF0000"/>
                              <w:sz w:val="24"/>
                            </w:rPr>
                            <w:fldChar w:fldCharType="separate"/>
                          </w:r>
                          <w:r w:rsidR="002453CE">
                            <w:rPr>
                              <w:rFonts w:ascii="Arial" w:hAnsi="Arial" w:cs="Arial"/>
                              <w:b/>
                              <w:color w:val="FF0000"/>
                              <w:sz w:val="24"/>
                            </w:rPr>
                            <w:t>OFFICIAL</w:t>
                          </w:r>
                          <w:r w:rsidRPr="001B07E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3FE1EEF" id="_x0000_t202" coordsize="21600,21600" o:spt="202" path="m,l,21600r21600,l21600,xe">
              <v:stroke joinstyle="miter"/>
              <v:path gradientshapeok="t" o:connecttype="rect"/>
            </v:shapetype>
            <v:shape id="Text Box 2113477113" o:spid="_x0000_s1028" type="#_x0000_t202" style="position:absolute;margin-left:0;margin-top:0;width:70.25pt;height:22.6pt;z-index:25165824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3RhGA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" o:allowincell="f" filled="f" stroked="f" strokeweight=".5pt">
              <v:textbox style="mso-fit-shape-to-text:t">
                <w:txbxContent>
                  <w:p w14:paraId="401611EA" w14:textId="697D726C" w:rsidR="001B07EC" w:rsidRPr="001B07EC" w:rsidRDefault="001B07EC" w:rsidP="001B07EC">
                    <w:pPr>
                      <w:spacing w:after="0"/>
                      <w:jc w:val="center"/>
                      <w:rPr>
                        <w:rFonts w:ascii="Arial" w:hAnsi="Arial" w:cs="Arial"/>
                        <w:b/>
                        <w:color w:val="FF0000"/>
                        <w:sz w:val="24"/>
                      </w:rPr>
                    </w:pPr>
                    <w:r w:rsidRPr="001B07EC">
                      <w:rPr>
                        <w:rFonts w:ascii="Arial" w:hAnsi="Arial" w:cs="Arial"/>
                        <w:b/>
                        <w:color w:val="FF0000"/>
                        <w:sz w:val="24"/>
                      </w:rPr>
                      <w:fldChar w:fldCharType="begin"/>
                    </w:r>
                    <w:r w:rsidRPr="001B07EC">
                      <w:rPr>
                        <w:rFonts w:ascii="Arial" w:hAnsi="Arial" w:cs="Arial"/>
                        <w:b/>
                        <w:color w:val="FF0000"/>
                        <w:sz w:val="24"/>
                      </w:rPr>
                      <w:instrText xml:space="preserve"> DOCPROPERTY PM_ProtectiveMarkingValue_Footer \* MERGEFORMAT </w:instrText>
                    </w:r>
                    <w:r w:rsidRPr="001B07EC">
                      <w:rPr>
                        <w:rFonts w:ascii="Arial" w:hAnsi="Arial" w:cs="Arial"/>
                        <w:b/>
                        <w:color w:val="FF0000"/>
                        <w:sz w:val="24"/>
                      </w:rPr>
                      <w:fldChar w:fldCharType="separate"/>
                    </w:r>
                    <w:r w:rsidR="002453CE">
                      <w:rPr>
                        <w:rFonts w:ascii="Arial" w:hAnsi="Arial" w:cs="Arial"/>
                        <w:b/>
                        <w:color w:val="FF0000"/>
                        <w:sz w:val="24"/>
                      </w:rPr>
                      <w:t>OFFICIAL</w:t>
                    </w:r>
                    <w:r w:rsidRPr="001B07EC">
                      <w:rPr>
                        <w:rFonts w:ascii="Arial" w:hAnsi="Arial" w:cs="Arial"/>
                        <w:b/>
                        <w:color w:val="FF00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7AA44" w14:textId="1FDDFF6F" w:rsidR="001B07EC" w:rsidRDefault="00234E4F" w:rsidP="00973990">
    <w:pPr>
      <w:pStyle w:val="Footer"/>
      <w:jc w:val="right"/>
    </w:pPr>
    <w:r>
      <w:rPr>
        <w:noProof/>
      </w:rPr>
      <mc:AlternateContent>
        <mc:Choice Requires="wps">
          <w:drawing>
            <wp:anchor distT="0" distB="0" distL="114300" distR="114300" simplePos="0" relativeHeight="251662341" behindDoc="0" locked="1" layoutInCell="0" allowOverlap="1" wp14:anchorId="229CFA4D" wp14:editId="642B33CC">
              <wp:simplePos x="0" y="0"/>
              <wp:positionH relativeFrom="margin">
                <wp:align>center</wp:align>
              </wp:positionH>
              <wp:positionV relativeFrom="bottomMargin">
                <wp:align>center</wp:align>
              </wp:positionV>
              <wp:extent cx="892175" cy="287020"/>
              <wp:effectExtent l="0" t="0" r="0" b="0"/>
              <wp:wrapNone/>
              <wp:docPr id="2016109019" name="janusSEAL SC Footer"/>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8B83BD" w14:textId="042E9D29" w:rsidR="00234E4F" w:rsidRPr="00234E4F" w:rsidRDefault="00234E4F" w:rsidP="00234E4F">
                          <w:pPr>
                            <w:spacing w:after="0"/>
                            <w:jc w:val="center"/>
                            <w:rPr>
                              <w:rFonts w:ascii="Arial" w:hAnsi="Arial" w:cs="Arial"/>
                              <w:b/>
                              <w:color w:val="FF0000"/>
                              <w:sz w:val="24"/>
                            </w:rPr>
                          </w:pPr>
                          <w:r w:rsidRPr="00234E4F">
                            <w:rPr>
                              <w:rFonts w:ascii="Arial" w:hAnsi="Arial" w:cs="Arial"/>
                              <w:b/>
                              <w:color w:val="FF0000"/>
                              <w:sz w:val="24"/>
                            </w:rPr>
                            <w:fldChar w:fldCharType="begin"/>
                          </w:r>
                          <w:r w:rsidRPr="00234E4F">
                            <w:rPr>
                              <w:rFonts w:ascii="Arial" w:hAnsi="Arial" w:cs="Arial"/>
                              <w:b/>
                              <w:color w:val="FF0000"/>
                              <w:sz w:val="24"/>
                            </w:rPr>
                            <w:instrText xml:space="preserve"> DOCPROPERTY PM_ProtectiveMarkingValue_Footer \* MERGEFORMAT </w:instrText>
                          </w:r>
                          <w:r w:rsidRPr="00234E4F">
                            <w:rPr>
                              <w:rFonts w:ascii="Arial" w:hAnsi="Arial" w:cs="Arial"/>
                              <w:b/>
                              <w:color w:val="FF0000"/>
                              <w:sz w:val="24"/>
                            </w:rPr>
                            <w:fldChar w:fldCharType="separate"/>
                          </w:r>
                          <w:r>
                            <w:rPr>
                              <w:rFonts w:ascii="Arial" w:hAnsi="Arial" w:cs="Arial"/>
                              <w:b/>
                              <w:color w:val="FF0000"/>
                              <w:sz w:val="24"/>
                            </w:rPr>
                            <w:t>OFFICIAL</w:t>
                          </w:r>
                          <w:r w:rsidRPr="00234E4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9CFA4D" id="_x0000_t202" coordsize="21600,21600" o:spt="202" path="m,l,21600r21600,l21600,xe">
              <v:stroke joinstyle="miter"/>
              <v:path gradientshapeok="t" o:connecttype="rect"/>
            </v:shapetype>
            <v:shape id="janusSEAL SC Footer" o:spid="_x0000_s1032" type="#_x0000_t202" style="position:absolute;left:0;text-align:left;margin-left:0;margin-top:0;width:70.25pt;height:22.6pt;z-index:2516623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" o:allowincell="f" filled="f" stroked="f" strokeweight=".5pt">
              <v:fill o:detectmouseclick="t"/>
              <v:textbox style="mso-fit-shape-to-text:t">
                <w:txbxContent>
                  <w:p w14:paraId="148B83BD" w14:textId="042E9D29" w:rsidR="00234E4F" w:rsidRPr="00234E4F" w:rsidRDefault="00234E4F" w:rsidP="00234E4F">
                    <w:pPr>
                      <w:spacing w:after="0"/>
                      <w:jc w:val="center"/>
                      <w:rPr>
                        <w:rFonts w:ascii="Arial" w:hAnsi="Arial" w:cs="Arial"/>
                        <w:b/>
                        <w:color w:val="FF0000"/>
                        <w:sz w:val="24"/>
                      </w:rPr>
                    </w:pPr>
                    <w:r w:rsidRPr="00234E4F">
                      <w:rPr>
                        <w:rFonts w:ascii="Arial" w:hAnsi="Arial" w:cs="Arial"/>
                        <w:b/>
                        <w:color w:val="FF0000"/>
                        <w:sz w:val="24"/>
                      </w:rPr>
                      <w:fldChar w:fldCharType="begin"/>
                    </w:r>
                    <w:r w:rsidRPr="00234E4F">
                      <w:rPr>
                        <w:rFonts w:ascii="Arial" w:hAnsi="Arial" w:cs="Arial"/>
                        <w:b/>
                        <w:color w:val="FF0000"/>
                        <w:sz w:val="24"/>
                      </w:rPr>
                      <w:instrText xml:space="preserve"> DOCPROPERTY PM_ProtectiveMarkingValue_Footer \* MERGEFORMAT </w:instrText>
                    </w:r>
                    <w:r w:rsidRPr="00234E4F">
                      <w:rPr>
                        <w:rFonts w:ascii="Arial" w:hAnsi="Arial" w:cs="Arial"/>
                        <w:b/>
                        <w:color w:val="FF0000"/>
                        <w:sz w:val="24"/>
                      </w:rPr>
                      <w:fldChar w:fldCharType="separate"/>
                    </w:r>
                    <w:r>
                      <w:rPr>
                        <w:rFonts w:ascii="Arial" w:hAnsi="Arial" w:cs="Arial"/>
                        <w:b/>
                        <w:color w:val="FF0000"/>
                        <w:sz w:val="24"/>
                      </w:rPr>
                      <w:t>OFFICIAL</w:t>
                    </w:r>
                    <w:r w:rsidRPr="00234E4F">
                      <w:rPr>
                        <w:rFonts w:ascii="Arial" w:hAnsi="Arial" w:cs="Arial"/>
                        <w:b/>
                        <w:color w:val="FF0000"/>
                        <w:sz w:val="24"/>
                      </w:rPr>
                      <w:fldChar w:fldCharType="end"/>
                    </w:r>
                  </w:p>
                </w:txbxContent>
              </v:textbox>
              <w10:wrap anchorx="margin" anchory="margin"/>
              <w10:anchorlock/>
            </v:shape>
          </w:pict>
        </mc:Fallback>
      </mc:AlternateContent>
    </w:r>
    <w:r w:rsidR="001B07EC">
      <w:rPr>
        <w:noProof/>
      </w:rPr>
      <mc:AlternateContent>
        <mc:Choice Requires="wps">
          <w:drawing>
            <wp:anchor distT="0" distB="0" distL="114300" distR="114300" simplePos="0" relativeHeight="251658243" behindDoc="0" locked="1" layoutInCell="0" allowOverlap="1" wp14:anchorId="6B89051F" wp14:editId="2BE73B6A">
              <wp:simplePos x="0" y="0"/>
              <wp:positionH relativeFrom="margin">
                <wp:align>center</wp:align>
              </wp:positionH>
              <wp:positionV relativeFrom="bottomMargin">
                <wp:align>center</wp:align>
              </wp:positionV>
              <wp:extent cx="892175" cy="287020"/>
              <wp:effectExtent l="0" t="0" r="0" b="0"/>
              <wp:wrapNone/>
              <wp:docPr id="604577132" name="Text Box 604577132"/>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69548C" w14:textId="0A6ECC03" w:rsidR="001B07EC" w:rsidRPr="001B07EC" w:rsidRDefault="001B07EC" w:rsidP="001B07EC">
                          <w:pPr>
                            <w:spacing w:after="0"/>
                            <w:jc w:val="center"/>
                            <w:rPr>
                              <w:rFonts w:ascii="Arial" w:hAnsi="Arial" w:cs="Arial"/>
                              <w:b/>
                              <w:color w:val="FF0000"/>
                              <w:sz w:val="24"/>
                            </w:rPr>
                          </w:pPr>
                          <w:r w:rsidRPr="001B07EC">
                            <w:rPr>
                              <w:rFonts w:ascii="Arial" w:hAnsi="Arial" w:cs="Arial"/>
                              <w:b/>
                              <w:color w:val="FF0000"/>
                              <w:sz w:val="24"/>
                            </w:rPr>
                            <w:fldChar w:fldCharType="begin"/>
                          </w:r>
                          <w:r w:rsidRPr="001B07EC">
                            <w:rPr>
                              <w:rFonts w:ascii="Arial" w:hAnsi="Arial" w:cs="Arial"/>
                              <w:b/>
                              <w:color w:val="FF0000"/>
                              <w:sz w:val="24"/>
                            </w:rPr>
                            <w:instrText xml:space="preserve"> DOCPROPERTY PM_ProtectiveMarkingValue_Footer \* MERGEFORMAT </w:instrText>
                          </w:r>
                          <w:r w:rsidRPr="001B07EC">
                            <w:rPr>
                              <w:rFonts w:ascii="Arial" w:hAnsi="Arial" w:cs="Arial"/>
                              <w:b/>
                              <w:color w:val="FF0000"/>
                              <w:sz w:val="24"/>
                            </w:rPr>
                            <w:fldChar w:fldCharType="separate"/>
                          </w:r>
                          <w:r w:rsidR="002453CE">
                            <w:rPr>
                              <w:rFonts w:ascii="Arial" w:hAnsi="Arial" w:cs="Arial"/>
                              <w:b/>
                              <w:color w:val="FF0000"/>
                              <w:sz w:val="24"/>
                            </w:rPr>
                            <w:t>OFFICIAL</w:t>
                          </w:r>
                          <w:r w:rsidRPr="001B07E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B89051F" id="_x0000_t202" coordsize="21600,21600" o:spt="202" path="m,l,21600r21600,l21600,xe">
              <v:stroke joinstyle="miter"/>
              <v:path gradientshapeok="t" o:connecttype="rect"/>
            </v:shapetype>
            <v:shape id="Text Box 604577132" o:spid="_x0000_s1029" type="#_x0000_t202" style="position:absolute;left:0;text-align:left;margin-left:0;margin-top:0;width:70.25pt;height:22.6pt;z-index:251658243;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" o:allowincell="f" filled="f" stroked="f" strokeweight=".5pt">
              <v:textbox style="mso-fit-shape-to-text:t">
                <w:txbxContent>
                  <w:p w14:paraId="3969548C" w14:textId="0A6ECC03" w:rsidR="001B07EC" w:rsidRPr="001B07EC" w:rsidRDefault="001B07EC" w:rsidP="001B07EC">
                    <w:pPr>
                      <w:spacing w:after="0"/>
                      <w:jc w:val="center"/>
                      <w:rPr>
                        <w:rFonts w:ascii="Arial" w:hAnsi="Arial" w:cs="Arial"/>
                        <w:b/>
                        <w:color w:val="FF0000"/>
                        <w:sz w:val="24"/>
                      </w:rPr>
                    </w:pPr>
                    <w:r w:rsidRPr="001B07EC">
                      <w:rPr>
                        <w:rFonts w:ascii="Arial" w:hAnsi="Arial" w:cs="Arial"/>
                        <w:b/>
                        <w:color w:val="FF0000"/>
                        <w:sz w:val="24"/>
                      </w:rPr>
                      <w:fldChar w:fldCharType="begin"/>
                    </w:r>
                    <w:r w:rsidRPr="001B07EC">
                      <w:rPr>
                        <w:rFonts w:ascii="Arial" w:hAnsi="Arial" w:cs="Arial"/>
                        <w:b/>
                        <w:color w:val="FF0000"/>
                        <w:sz w:val="24"/>
                      </w:rPr>
                      <w:instrText xml:space="preserve"> DOCPROPERTY PM_ProtectiveMarkingValue_Footer \* MERGEFORMAT </w:instrText>
                    </w:r>
                    <w:r w:rsidRPr="001B07EC">
                      <w:rPr>
                        <w:rFonts w:ascii="Arial" w:hAnsi="Arial" w:cs="Arial"/>
                        <w:b/>
                        <w:color w:val="FF0000"/>
                        <w:sz w:val="24"/>
                      </w:rPr>
                      <w:fldChar w:fldCharType="separate"/>
                    </w:r>
                    <w:r w:rsidR="002453CE">
                      <w:rPr>
                        <w:rFonts w:ascii="Arial" w:hAnsi="Arial" w:cs="Arial"/>
                        <w:b/>
                        <w:color w:val="FF0000"/>
                        <w:sz w:val="24"/>
                      </w:rPr>
                      <w:t>OFFICIAL</w:t>
                    </w:r>
                    <w:r w:rsidRPr="001B07EC">
                      <w:rPr>
                        <w:rFonts w:ascii="Arial" w:hAnsi="Arial" w:cs="Arial"/>
                        <w:b/>
                        <w:color w:val="FF0000"/>
                        <w:sz w:val="24"/>
                      </w:rPr>
                      <w:fldChar w:fldCharType="end"/>
                    </w:r>
                  </w:p>
                </w:txbxContent>
              </v:textbox>
              <w10:wrap anchorx="margin" anchory="margin"/>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7563B" w14:textId="6A8D1EDC" w:rsidR="001B07EC" w:rsidRDefault="00234E4F">
    <w:pPr>
      <w:pStyle w:val="Footer"/>
    </w:pPr>
    <w:r>
      <w:rPr>
        <w:noProof/>
      </w:rPr>
      <mc:AlternateContent>
        <mc:Choice Requires="wps">
          <w:drawing>
            <wp:anchor distT="0" distB="0" distL="114300" distR="114300" simplePos="0" relativeHeight="251663365" behindDoc="0" locked="1" layoutInCell="0" allowOverlap="1" wp14:anchorId="42E5C579" wp14:editId="27729DEF">
              <wp:simplePos x="0" y="0"/>
              <wp:positionH relativeFrom="margin">
                <wp:align>center</wp:align>
              </wp:positionH>
              <wp:positionV relativeFrom="bottomMargin">
                <wp:align>center</wp:align>
              </wp:positionV>
              <wp:extent cx="892175" cy="287020"/>
              <wp:effectExtent l="0" t="0" r="0" b="0"/>
              <wp:wrapNone/>
              <wp:docPr id="1000349200" name="janusSEAL SC F_First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807F85" w14:textId="6D4A05B2" w:rsidR="00234E4F" w:rsidRPr="00234E4F" w:rsidRDefault="00234E4F" w:rsidP="00234E4F">
                          <w:pPr>
                            <w:spacing w:after="0"/>
                            <w:jc w:val="center"/>
                            <w:rPr>
                              <w:rFonts w:ascii="Arial" w:hAnsi="Arial" w:cs="Arial"/>
                              <w:b/>
                              <w:color w:val="FF0000"/>
                              <w:sz w:val="24"/>
                            </w:rPr>
                          </w:pPr>
                          <w:r w:rsidRPr="00234E4F">
                            <w:rPr>
                              <w:rFonts w:ascii="Arial" w:hAnsi="Arial" w:cs="Arial"/>
                              <w:b/>
                              <w:color w:val="FF0000"/>
                              <w:sz w:val="24"/>
                            </w:rPr>
                            <w:fldChar w:fldCharType="begin"/>
                          </w:r>
                          <w:r w:rsidRPr="00234E4F">
                            <w:rPr>
                              <w:rFonts w:ascii="Arial" w:hAnsi="Arial" w:cs="Arial"/>
                              <w:b/>
                              <w:color w:val="FF0000"/>
                              <w:sz w:val="24"/>
                            </w:rPr>
                            <w:instrText xml:space="preserve"> DOCPROPERTY PM_ProtectiveMarkingValue_Footer \* MERGEFORMAT </w:instrText>
                          </w:r>
                          <w:r w:rsidRPr="00234E4F">
                            <w:rPr>
                              <w:rFonts w:ascii="Arial" w:hAnsi="Arial" w:cs="Arial"/>
                              <w:b/>
                              <w:color w:val="FF0000"/>
                              <w:sz w:val="24"/>
                            </w:rPr>
                            <w:fldChar w:fldCharType="separate"/>
                          </w:r>
                          <w:r>
                            <w:rPr>
                              <w:rFonts w:ascii="Arial" w:hAnsi="Arial" w:cs="Arial"/>
                              <w:b/>
                              <w:color w:val="FF0000"/>
                              <w:sz w:val="24"/>
                            </w:rPr>
                            <w:t>OFFICIAL</w:t>
                          </w:r>
                          <w:r w:rsidRPr="00234E4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2E5C579" id="_x0000_t202" coordsize="21600,21600" o:spt="202" path="m,l,21600r21600,l21600,xe">
              <v:stroke joinstyle="miter"/>
              <v:path gradientshapeok="t" o:connecttype="rect"/>
            </v:shapetype>
            <v:shape id="janusSEAL SC F_FirstPage" o:spid="_x0000_s1036" type="#_x0000_t202" style="position:absolute;margin-left:0;margin-top:0;width:70.25pt;height:22.6pt;z-index:251663365;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" o:allowincell="f" filled="f" stroked="f" strokeweight=".5pt">
              <v:fill o:detectmouseclick="t"/>
              <v:textbox style="mso-fit-shape-to-text:t">
                <w:txbxContent>
                  <w:p w14:paraId="11807F85" w14:textId="6D4A05B2" w:rsidR="00234E4F" w:rsidRPr="00234E4F" w:rsidRDefault="00234E4F" w:rsidP="00234E4F">
                    <w:pPr>
                      <w:spacing w:after="0"/>
                      <w:jc w:val="center"/>
                      <w:rPr>
                        <w:rFonts w:ascii="Arial" w:hAnsi="Arial" w:cs="Arial"/>
                        <w:b/>
                        <w:color w:val="FF0000"/>
                        <w:sz w:val="24"/>
                      </w:rPr>
                    </w:pPr>
                    <w:r w:rsidRPr="00234E4F">
                      <w:rPr>
                        <w:rFonts w:ascii="Arial" w:hAnsi="Arial" w:cs="Arial"/>
                        <w:b/>
                        <w:color w:val="FF0000"/>
                        <w:sz w:val="24"/>
                      </w:rPr>
                      <w:fldChar w:fldCharType="begin"/>
                    </w:r>
                    <w:r w:rsidRPr="00234E4F">
                      <w:rPr>
                        <w:rFonts w:ascii="Arial" w:hAnsi="Arial" w:cs="Arial"/>
                        <w:b/>
                        <w:color w:val="FF0000"/>
                        <w:sz w:val="24"/>
                      </w:rPr>
                      <w:instrText xml:space="preserve"> DOCPROPERTY PM_ProtectiveMarkingValue_Footer \* MERGEFORMAT </w:instrText>
                    </w:r>
                    <w:r w:rsidRPr="00234E4F">
                      <w:rPr>
                        <w:rFonts w:ascii="Arial" w:hAnsi="Arial" w:cs="Arial"/>
                        <w:b/>
                        <w:color w:val="FF0000"/>
                        <w:sz w:val="24"/>
                      </w:rPr>
                      <w:fldChar w:fldCharType="separate"/>
                    </w:r>
                    <w:r>
                      <w:rPr>
                        <w:rFonts w:ascii="Arial" w:hAnsi="Arial" w:cs="Arial"/>
                        <w:b/>
                        <w:color w:val="FF0000"/>
                        <w:sz w:val="24"/>
                      </w:rPr>
                      <w:t>OFFICIAL</w:t>
                    </w:r>
                    <w:r w:rsidRPr="00234E4F">
                      <w:rPr>
                        <w:rFonts w:ascii="Arial" w:hAnsi="Arial" w:cs="Arial"/>
                        <w:b/>
                        <w:color w:val="FF0000"/>
                        <w:sz w:val="24"/>
                      </w:rPr>
                      <w:fldChar w:fldCharType="end"/>
                    </w:r>
                  </w:p>
                </w:txbxContent>
              </v:textbox>
              <w10:wrap anchorx="margin" anchory="margin"/>
              <w10:anchorlock/>
            </v:shape>
          </w:pict>
        </mc:Fallback>
      </mc:AlternateContent>
    </w:r>
    <w:r w:rsidR="001B07EC">
      <w:rPr>
        <w:noProof/>
      </w:rPr>
      <mc:AlternateContent>
        <mc:Choice Requires="wps">
          <w:drawing>
            <wp:anchor distT="0" distB="0" distL="114300" distR="114300" simplePos="0" relativeHeight="251658244" behindDoc="0" locked="1" layoutInCell="0" allowOverlap="1" wp14:anchorId="31F72450" wp14:editId="42045A05">
              <wp:simplePos x="0" y="0"/>
              <wp:positionH relativeFrom="margin">
                <wp:align>center</wp:align>
              </wp:positionH>
              <wp:positionV relativeFrom="bottomMargin">
                <wp:align>center</wp:align>
              </wp:positionV>
              <wp:extent cx="892175" cy="287020"/>
              <wp:effectExtent l="0" t="0" r="0" b="0"/>
              <wp:wrapNone/>
              <wp:docPr id="1623128641" name="Text Box 1623128641"/>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25F5F3" w14:textId="127E197E" w:rsidR="001B07EC" w:rsidRPr="001B07EC" w:rsidRDefault="001B07EC" w:rsidP="001B07EC">
                          <w:pPr>
                            <w:spacing w:after="0"/>
                            <w:jc w:val="center"/>
                            <w:rPr>
                              <w:rFonts w:ascii="Arial" w:hAnsi="Arial" w:cs="Arial"/>
                              <w:b/>
                              <w:color w:val="FF0000"/>
                              <w:sz w:val="24"/>
                            </w:rPr>
                          </w:pPr>
                          <w:r w:rsidRPr="001B07EC">
                            <w:rPr>
                              <w:rFonts w:ascii="Arial" w:hAnsi="Arial" w:cs="Arial"/>
                              <w:b/>
                              <w:color w:val="FF0000"/>
                              <w:sz w:val="24"/>
                            </w:rPr>
                            <w:fldChar w:fldCharType="begin"/>
                          </w:r>
                          <w:r w:rsidRPr="001B07EC">
                            <w:rPr>
                              <w:rFonts w:ascii="Arial" w:hAnsi="Arial" w:cs="Arial"/>
                              <w:b/>
                              <w:color w:val="FF0000"/>
                              <w:sz w:val="24"/>
                            </w:rPr>
                            <w:instrText xml:space="preserve"> DOCPROPERTY PM_ProtectiveMarkingValue_Footer \* MERGEFORMAT </w:instrText>
                          </w:r>
                          <w:r w:rsidRPr="001B07EC">
                            <w:rPr>
                              <w:rFonts w:ascii="Arial" w:hAnsi="Arial" w:cs="Arial"/>
                              <w:b/>
                              <w:color w:val="FF0000"/>
                              <w:sz w:val="24"/>
                            </w:rPr>
                            <w:fldChar w:fldCharType="separate"/>
                          </w:r>
                          <w:r w:rsidR="002453CE">
                            <w:rPr>
                              <w:rFonts w:ascii="Arial" w:hAnsi="Arial" w:cs="Arial"/>
                              <w:b/>
                              <w:color w:val="FF0000"/>
                              <w:sz w:val="24"/>
                            </w:rPr>
                            <w:t>OFFICIAL</w:t>
                          </w:r>
                          <w:r w:rsidRPr="001B07E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1F72450" id="_x0000_t202" coordsize="21600,21600" o:spt="202" path="m,l,21600r21600,l21600,xe">
              <v:stroke joinstyle="miter"/>
              <v:path gradientshapeok="t" o:connecttype="rect"/>
            </v:shapetype>
            <v:shape id="Text Box 1623128641" o:spid="_x0000_s1031" type="#_x0000_t202" style="position:absolute;margin-left:0;margin-top:0;width:70.25pt;height:22.6pt;z-index:251658244;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CABGQ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" o:allowincell="f" filled="f" stroked="f" strokeweight=".5pt">
              <v:textbox style="mso-fit-shape-to-text:t">
                <w:txbxContent>
                  <w:p w14:paraId="3825F5F3" w14:textId="127E197E" w:rsidR="001B07EC" w:rsidRPr="001B07EC" w:rsidRDefault="001B07EC" w:rsidP="001B07EC">
                    <w:pPr>
                      <w:spacing w:after="0"/>
                      <w:jc w:val="center"/>
                      <w:rPr>
                        <w:rFonts w:ascii="Arial" w:hAnsi="Arial" w:cs="Arial"/>
                        <w:b/>
                        <w:color w:val="FF0000"/>
                        <w:sz w:val="24"/>
                      </w:rPr>
                    </w:pPr>
                    <w:r w:rsidRPr="001B07EC">
                      <w:rPr>
                        <w:rFonts w:ascii="Arial" w:hAnsi="Arial" w:cs="Arial"/>
                        <w:b/>
                        <w:color w:val="FF0000"/>
                        <w:sz w:val="24"/>
                      </w:rPr>
                      <w:fldChar w:fldCharType="begin"/>
                    </w:r>
                    <w:r w:rsidRPr="001B07EC">
                      <w:rPr>
                        <w:rFonts w:ascii="Arial" w:hAnsi="Arial" w:cs="Arial"/>
                        <w:b/>
                        <w:color w:val="FF0000"/>
                        <w:sz w:val="24"/>
                      </w:rPr>
                      <w:instrText xml:space="preserve"> DOCPROPERTY PM_ProtectiveMarkingValue_Footer \* MERGEFORMAT </w:instrText>
                    </w:r>
                    <w:r w:rsidRPr="001B07EC">
                      <w:rPr>
                        <w:rFonts w:ascii="Arial" w:hAnsi="Arial" w:cs="Arial"/>
                        <w:b/>
                        <w:color w:val="FF0000"/>
                        <w:sz w:val="24"/>
                      </w:rPr>
                      <w:fldChar w:fldCharType="separate"/>
                    </w:r>
                    <w:r w:rsidR="002453CE">
                      <w:rPr>
                        <w:rFonts w:ascii="Arial" w:hAnsi="Arial" w:cs="Arial"/>
                        <w:b/>
                        <w:color w:val="FF0000"/>
                        <w:sz w:val="24"/>
                      </w:rPr>
                      <w:t>OFFICIAL</w:t>
                    </w:r>
                    <w:r w:rsidRPr="001B07EC">
                      <w:rPr>
                        <w:rFonts w:ascii="Arial" w:hAnsi="Arial" w:cs="Arial"/>
                        <w:b/>
                        <w:color w:val="FF0000"/>
                        <w:sz w:val="24"/>
                      </w:rPr>
                      <w:fldChar w:fldCharType="end"/>
                    </w:r>
                  </w:p>
                </w:txbxContent>
              </v:textbox>
              <w10:wrap anchorx="margin"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2F4E07" w14:textId="77777777" w:rsidR="005C409B" w:rsidRDefault="005C409B" w:rsidP="00520BF3">
      <w:pPr>
        <w:spacing w:after="0" w:line="240" w:lineRule="auto"/>
      </w:pPr>
      <w:r>
        <w:separator/>
      </w:r>
    </w:p>
  </w:footnote>
  <w:footnote w:type="continuationSeparator" w:id="0">
    <w:p w14:paraId="17DDE394" w14:textId="77777777" w:rsidR="005C409B" w:rsidRDefault="005C409B" w:rsidP="00520BF3">
      <w:pPr>
        <w:spacing w:after="0" w:line="240" w:lineRule="auto"/>
      </w:pPr>
      <w:r>
        <w:continuationSeparator/>
      </w:r>
    </w:p>
  </w:footnote>
  <w:footnote w:type="continuationNotice" w:id="1">
    <w:p w14:paraId="0E9178BA" w14:textId="77777777" w:rsidR="005C409B" w:rsidRDefault="005C40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5936DC" w14:textId="55733984" w:rsidR="001B07EC" w:rsidRDefault="00234E4F">
    <w:pPr>
      <w:pStyle w:val="Header"/>
    </w:pPr>
    <w:r>
      <w:rPr>
        <w:noProof/>
      </w:rPr>
      <mc:AlternateContent>
        <mc:Choice Requires="wps">
          <w:drawing>
            <wp:anchor distT="0" distB="0" distL="114300" distR="114300" simplePos="0" relativeHeight="251661317" behindDoc="0" locked="1" layoutInCell="0" allowOverlap="1" wp14:anchorId="407261F5" wp14:editId="1617979C">
              <wp:simplePos x="0" y="0"/>
              <wp:positionH relativeFrom="margin">
                <wp:align>center</wp:align>
              </wp:positionH>
              <wp:positionV relativeFrom="topMargin">
                <wp:align>center</wp:align>
              </wp:positionV>
              <wp:extent cx="892175" cy="287020"/>
              <wp:effectExtent l="0" t="0" r="0" b="0"/>
              <wp:wrapNone/>
              <wp:docPr id="1637484658" name="janusSEAL SC H_Even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F333ED" w14:textId="3D5D1F88" w:rsidR="00234E4F" w:rsidRPr="00234E4F" w:rsidRDefault="00234E4F" w:rsidP="00234E4F">
                          <w:pPr>
                            <w:spacing w:after="0"/>
                            <w:jc w:val="center"/>
                            <w:rPr>
                              <w:rFonts w:ascii="Arial" w:hAnsi="Arial" w:cs="Arial"/>
                              <w:b/>
                              <w:color w:val="FF0000"/>
                              <w:sz w:val="24"/>
                            </w:rPr>
                          </w:pPr>
                          <w:r w:rsidRPr="00234E4F">
                            <w:rPr>
                              <w:rFonts w:ascii="Arial" w:hAnsi="Arial" w:cs="Arial"/>
                              <w:b/>
                              <w:color w:val="FF0000"/>
                              <w:sz w:val="24"/>
                            </w:rPr>
                            <w:fldChar w:fldCharType="begin"/>
                          </w:r>
                          <w:r w:rsidRPr="00234E4F">
                            <w:rPr>
                              <w:rFonts w:ascii="Arial" w:hAnsi="Arial" w:cs="Arial"/>
                              <w:b/>
                              <w:color w:val="FF0000"/>
                              <w:sz w:val="24"/>
                            </w:rPr>
                            <w:instrText xml:space="preserve"> DOCPROPERTY PM_ProtectiveMarkingValue_Header \* MERGEFORMAT </w:instrText>
                          </w:r>
                          <w:r w:rsidRPr="00234E4F">
                            <w:rPr>
                              <w:rFonts w:ascii="Arial" w:hAnsi="Arial" w:cs="Arial"/>
                              <w:b/>
                              <w:color w:val="FF0000"/>
                              <w:sz w:val="24"/>
                            </w:rPr>
                            <w:fldChar w:fldCharType="separate"/>
                          </w:r>
                          <w:r>
                            <w:rPr>
                              <w:rFonts w:ascii="Arial" w:hAnsi="Arial" w:cs="Arial"/>
                              <w:b/>
                              <w:color w:val="FF0000"/>
                              <w:sz w:val="24"/>
                            </w:rPr>
                            <w:t>OFFICIAL</w:t>
                          </w:r>
                          <w:r w:rsidRPr="00234E4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07261F5" id="_x0000_t202" coordsize="21600,21600" o:spt="202" path="m,l,21600r21600,l21600,xe">
              <v:stroke joinstyle="miter"/>
              <v:path gradientshapeok="t" o:connecttype="rect"/>
            </v:shapetype>
            <v:shape id="janusSEAL SC H_EvenPage" o:spid="_x0000_s1026" type="#_x0000_t202" style="position:absolute;margin-left:0;margin-top:0;width:70.25pt;height:22.6pt;z-index:251661317;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9G/GA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" o:allowincell="f" filled="f" stroked="f" strokeweight=".5pt">
              <v:fill o:detectmouseclick="t"/>
              <v:textbox style="mso-fit-shape-to-text:t">
                <w:txbxContent>
                  <w:p w14:paraId="64F333ED" w14:textId="3D5D1F88" w:rsidR="00234E4F" w:rsidRPr="00234E4F" w:rsidRDefault="00234E4F" w:rsidP="00234E4F">
                    <w:pPr>
                      <w:spacing w:after="0"/>
                      <w:jc w:val="center"/>
                      <w:rPr>
                        <w:rFonts w:ascii="Arial" w:hAnsi="Arial" w:cs="Arial"/>
                        <w:b/>
                        <w:color w:val="FF0000"/>
                        <w:sz w:val="24"/>
                      </w:rPr>
                    </w:pPr>
                    <w:r w:rsidRPr="00234E4F">
                      <w:rPr>
                        <w:rFonts w:ascii="Arial" w:hAnsi="Arial" w:cs="Arial"/>
                        <w:b/>
                        <w:color w:val="FF0000"/>
                        <w:sz w:val="24"/>
                      </w:rPr>
                      <w:fldChar w:fldCharType="begin"/>
                    </w:r>
                    <w:r w:rsidRPr="00234E4F">
                      <w:rPr>
                        <w:rFonts w:ascii="Arial" w:hAnsi="Arial" w:cs="Arial"/>
                        <w:b/>
                        <w:color w:val="FF0000"/>
                        <w:sz w:val="24"/>
                      </w:rPr>
                      <w:instrText xml:space="preserve"> DOCPROPERTY PM_ProtectiveMarkingValue_Header \* MERGEFORMAT </w:instrText>
                    </w:r>
                    <w:r w:rsidRPr="00234E4F">
                      <w:rPr>
                        <w:rFonts w:ascii="Arial" w:hAnsi="Arial" w:cs="Arial"/>
                        <w:b/>
                        <w:color w:val="FF0000"/>
                        <w:sz w:val="24"/>
                      </w:rPr>
                      <w:fldChar w:fldCharType="separate"/>
                    </w:r>
                    <w:r>
                      <w:rPr>
                        <w:rFonts w:ascii="Arial" w:hAnsi="Arial" w:cs="Arial"/>
                        <w:b/>
                        <w:color w:val="FF0000"/>
                        <w:sz w:val="24"/>
                      </w:rPr>
                      <w:t>OFFICIAL</w:t>
                    </w:r>
                    <w:r w:rsidRPr="00234E4F">
                      <w:rPr>
                        <w:rFonts w:ascii="Arial" w:hAnsi="Arial" w:cs="Arial"/>
                        <w:b/>
                        <w:color w:val="FF0000"/>
                        <w:sz w:val="24"/>
                      </w:rPr>
                      <w:fldChar w:fldCharType="end"/>
                    </w:r>
                  </w:p>
                </w:txbxContent>
              </v:textbox>
              <w10:wrap anchorx="margin" anchory="margin"/>
              <w10:anchorlock/>
            </v:shape>
          </w:pict>
        </mc:Fallback>
      </mc:AlternateContent>
    </w:r>
    <w:r w:rsidR="001B07EC">
      <w:rPr>
        <w:noProof/>
      </w:rPr>
      <mc:AlternateContent>
        <mc:Choice Requires="wps">
          <w:drawing>
            <wp:anchor distT="0" distB="0" distL="114300" distR="114300" simplePos="0" relativeHeight="251658242" behindDoc="0" locked="1" layoutInCell="0" allowOverlap="1" wp14:anchorId="76423892" wp14:editId="3C434EA1">
              <wp:simplePos x="0" y="0"/>
              <wp:positionH relativeFrom="margin">
                <wp:align>center</wp:align>
              </wp:positionH>
              <wp:positionV relativeFrom="topMargin">
                <wp:align>center</wp:align>
              </wp:positionV>
              <wp:extent cx="892175" cy="287020"/>
              <wp:effectExtent l="0" t="0" r="0" b="0"/>
              <wp:wrapNone/>
              <wp:docPr id="238440614" name="Text Box 238440614"/>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BA1FBE" w14:textId="11480D4E" w:rsidR="001B07EC" w:rsidRPr="001B07EC" w:rsidRDefault="001B07EC" w:rsidP="001B07EC">
                          <w:pPr>
                            <w:spacing w:after="0"/>
                            <w:jc w:val="center"/>
                            <w:rPr>
                              <w:rFonts w:ascii="Arial" w:hAnsi="Arial" w:cs="Arial"/>
                              <w:b/>
                              <w:color w:val="FF0000"/>
                              <w:sz w:val="24"/>
                            </w:rPr>
                          </w:pPr>
                          <w:r w:rsidRPr="001B07EC">
                            <w:rPr>
                              <w:rFonts w:ascii="Arial" w:hAnsi="Arial" w:cs="Arial"/>
                              <w:b/>
                              <w:color w:val="FF0000"/>
                              <w:sz w:val="24"/>
                            </w:rPr>
                            <w:fldChar w:fldCharType="begin"/>
                          </w:r>
                          <w:r w:rsidRPr="001B07EC">
                            <w:rPr>
                              <w:rFonts w:ascii="Arial" w:hAnsi="Arial" w:cs="Arial"/>
                              <w:b/>
                              <w:color w:val="FF0000"/>
                              <w:sz w:val="24"/>
                            </w:rPr>
                            <w:instrText xml:space="preserve"> DOCPROPERTY PM_ProtectiveMarkingValue_Header \* MERGEFORMAT </w:instrText>
                          </w:r>
                          <w:r w:rsidRPr="001B07EC">
                            <w:rPr>
                              <w:rFonts w:ascii="Arial" w:hAnsi="Arial" w:cs="Arial"/>
                              <w:b/>
                              <w:color w:val="FF0000"/>
                              <w:sz w:val="24"/>
                            </w:rPr>
                            <w:fldChar w:fldCharType="separate"/>
                          </w:r>
                          <w:r w:rsidR="002453CE">
                            <w:rPr>
                              <w:rFonts w:ascii="Arial" w:hAnsi="Arial" w:cs="Arial"/>
                              <w:b/>
                              <w:color w:val="FF0000"/>
                              <w:sz w:val="24"/>
                            </w:rPr>
                            <w:t>OFFICIAL</w:t>
                          </w:r>
                          <w:r w:rsidRPr="001B07E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423892" id="_x0000_t202" coordsize="21600,21600" o:spt="202" path="m,l,21600r21600,l21600,xe">
              <v:stroke joinstyle="miter"/>
              <v:path gradientshapeok="t" o:connecttype="rect"/>
            </v:shapetype>
            <v:shape id="Text Box 238440614" o:spid="_x0000_s1026" type="#_x0000_t202" style="position:absolute;margin-left:0;margin-top:0;width:70.25pt;height:22.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" o:allowincell="f" filled="f" stroked="f" strokeweight=".5pt">
              <v:textbox style="mso-fit-shape-to-text:t">
                <w:txbxContent>
                  <w:p w14:paraId="52BA1FBE" w14:textId="11480D4E" w:rsidR="001B07EC" w:rsidRPr="001B07EC" w:rsidRDefault="001B07EC" w:rsidP="001B07EC">
                    <w:pPr>
                      <w:spacing w:after="0"/>
                      <w:jc w:val="center"/>
                      <w:rPr>
                        <w:rFonts w:ascii="Arial" w:hAnsi="Arial" w:cs="Arial"/>
                        <w:b/>
                        <w:color w:val="FF0000"/>
                        <w:sz w:val="24"/>
                      </w:rPr>
                    </w:pPr>
                    <w:r w:rsidRPr="001B07EC">
                      <w:rPr>
                        <w:rFonts w:ascii="Arial" w:hAnsi="Arial" w:cs="Arial"/>
                        <w:b/>
                        <w:color w:val="FF0000"/>
                        <w:sz w:val="24"/>
                      </w:rPr>
                      <w:fldChar w:fldCharType="begin"/>
                    </w:r>
                    <w:r w:rsidRPr="001B07EC">
                      <w:rPr>
                        <w:rFonts w:ascii="Arial" w:hAnsi="Arial" w:cs="Arial"/>
                        <w:b/>
                        <w:color w:val="FF0000"/>
                        <w:sz w:val="24"/>
                      </w:rPr>
                      <w:instrText xml:space="preserve"> DOCPROPERTY PM_ProtectiveMarkingValue_Header \* MERGEFORMAT </w:instrText>
                    </w:r>
                    <w:r w:rsidRPr="001B07EC">
                      <w:rPr>
                        <w:rFonts w:ascii="Arial" w:hAnsi="Arial" w:cs="Arial"/>
                        <w:b/>
                        <w:color w:val="FF0000"/>
                        <w:sz w:val="24"/>
                      </w:rPr>
                      <w:fldChar w:fldCharType="separate"/>
                    </w:r>
                    <w:r w:rsidR="002453CE">
                      <w:rPr>
                        <w:rFonts w:ascii="Arial" w:hAnsi="Arial" w:cs="Arial"/>
                        <w:b/>
                        <w:color w:val="FF0000"/>
                        <w:sz w:val="24"/>
                      </w:rPr>
                      <w:t>OFFICIAL</w:t>
                    </w:r>
                    <w:r w:rsidRPr="001B07EC">
                      <w:rPr>
                        <w:rFonts w:ascii="Arial" w:hAnsi="Arial" w:cs="Arial"/>
                        <w:b/>
                        <w:color w:val="FF00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FAFF" w14:textId="5170FA3A" w:rsidR="001B07EC" w:rsidRDefault="00234E4F">
    <w:pPr>
      <w:pStyle w:val="Header"/>
    </w:pPr>
    <w:r>
      <w:rPr>
        <w:noProof/>
      </w:rPr>
      <mc:AlternateContent>
        <mc:Choice Requires="wps">
          <w:drawing>
            <wp:anchor distT="0" distB="0" distL="114300" distR="114300" simplePos="0" relativeHeight="251659269" behindDoc="0" locked="1" layoutInCell="0" allowOverlap="1" wp14:anchorId="763C611A" wp14:editId="0000DA00">
              <wp:simplePos x="0" y="0"/>
              <wp:positionH relativeFrom="margin">
                <wp:align>center</wp:align>
              </wp:positionH>
              <wp:positionV relativeFrom="topMargin">
                <wp:align>center</wp:align>
              </wp:positionV>
              <wp:extent cx="892175" cy="287020"/>
              <wp:effectExtent l="0" t="0" r="0" b="0"/>
              <wp:wrapNone/>
              <wp:docPr id="1817971152" name="janusSEAL SC Header"/>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B35F40" w14:textId="19E27FE0" w:rsidR="00234E4F" w:rsidRPr="00234E4F" w:rsidRDefault="00234E4F" w:rsidP="00234E4F">
                          <w:pPr>
                            <w:spacing w:after="0"/>
                            <w:jc w:val="center"/>
                            <w:rPr>
                              <w:rFonts w:ascii="Arial" w:hAnsi="Arial" w:cs="Arial"/>
                              <w:b/>
                              <w:color w:val="FF0000"/>
                              <w:sz w:val="24"/>
                            </w:rPr>
                          </w:pPr>
                          <w:r w:rsidRPr="00234E4F">
                            <w:rPr>
                              <w:rFonts w:ascii="Arial" w:hAnsi="Arial" w:cs="Arial"/>
                              <w:b/>
                              <w:color w:val="FF0000"/>
                              <w:sz w:val="24"/>
                            </w:rPr>
                            <w:fldChar w:fldCharType="begin"/>
                          </w:r>
                          <w:r w:rsidRPr="00234E4F">
                            <w:rPr>
                              <w:rFonts w:ascii="Arial" w:hAnsi="Arial" w:cs="Arial"/>
                              <w:b/>
                              <w:color w:val="FF0000"/>
                              <w:sz w:val="24"/>
                            </w:rPr>
                            <w:instrText xml:space="preserve"> DOCPROPERTY PM_ProtectiveMarkingValue_Header \* MERGEFORMAT </w:instrText>
                          </w:r>
                          <w:r w:rsidRPr="00234E4F">
                            <w:rPr>
                              <w:rFonts w:ascii="Arial" w:hAnsi="Arial" w:cs="Arial"/>
                              <w:b/>
                              <w:color w:val="FF0000"/>
                              <w:sz w:val="24"/>
                            </w:rPr>
                            <w:fldChar w:fldCharType="separate"/>
                          </w:r>
                          <w:r>
                            <w:rPr>
                              <w:rFonts w:ascii="Arial" w:hAnsi="Arial" w:cs="Arial"/>
                              <w:b/>
                              <w:color w:val="FF0000"/>
                              <w:sz w:val="24"/>
                            </w:rPr>
                            <w:t>OFFICIAL</w:t>
                          </w:r>
                          <w:r w:rsidRPr="00234E4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3C611A" id="_x0000_t202" coordsize="21600,21600" o:spt="202" path="m,l,21600r21600,l21600,xe">
              <v:stroke joinstyle="miter"/>
              <v:path gradientshapeok="t" o:connecttype="rect"/>
            </v:shapetype>
            <v:shape id="janusSEAL SC Header" o:spid="_x0000_s1028" type="#_x0000_t202" style="position:absolute;margin-left:0;margin-top:0;width:70.25pt;height:22.6pt;z-index:251659269;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l/GA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" o:allowincell="f" filled="f" stroked="f" strokeweight=".5pt">
              <v:fill o:detectmouseclick="t"/>
              <v:textbox style="mso-fit-shape-to-text:t">
                <w:txbxContent>
                  <w:p w14:paraId="06B35F40" w14:textId="19E27FE0" w:rsidR="00234E4F" w:rsidRPr="00234E4F" w:rsidRDefault="00234E4F" w:rsidP="00234E4F">
                    <w:pPr>
                      <w:spacing w:after="0"/>
                      <w:jc w:val="center"/>
                      <w:rPr>
                        <w:rFonts w:ascii="Arial" w:hAnsi="Arial" w:cs="Arial"/>
                        <w:b/>
                        <w:color w:val="FF0000"/>
                        <w:sz w:val="24"/>
                      </w:rPr>
                    </w:pPr>
                    <w:r w:rsidRPr="00234E4F">
                      <w:rPr>
                        <w:rFonts w:ascii="Arial" w:hAnsi="Arial" w:cs="Arial"/>
                        <w:b/>
                        <w:color w:val="FF0000"/>
                        <w:sz w:val="24"/>
                      </w:rPr>
                      <w:fldChar w:fldCharType="begin"/>
                    </w:r>
                    <w:r w:rsidRPr="00234E4F">
                      <w:rPr>
                        <w:rFonts w:ascii="Arial" w:hAnsi="Arial" w:cs="Arial"/>
                        <w:b/>
                        <w:color w:val="FF0000"/>
                        <w:sz w:val="24"/>
                      </w:rPr>
                      <w:instrText xml:space="preserve"> DOCPROPERTY PM_ProtectiveMarkingValue_Header \* MERGEFORMAT </w:instrText>
                    </w:r>
                    <w:r w:rsidRPr="00234E4F">
                      <w:rPr>
                        <w:rFonts w:ascii="Arial" w:hAnsi="Arial" w:cs="Arial"/>
                        <w:b/>
                        <w:color w:val="FF0000"/>
                        <w:sz w:val="24"/>
                      </w:rPr>
                      <w:fldChar w:fldCharType="separate"/>
                    </w:r>
                    <w:r>
                      <w:rPr>
                        <w:rFonts w:ascii="Arial" w:hAnsi="Arial" w:cs="Arial"/>
                        <w:b/>
                        <w:color w:val="FF0000"/>
                        <w:sz w:val="24"/>
                      </w:rPr>
                      <w:t>OFFICIAL</w:t>
                    </w:r>
                    <w:r w:rsidRPr="00234E4F">
                      <w:rPr>
                        <w:rFonts w:ascii="Arial" w:hAnsi="Arial" w:cs="Arial"/>
                        <w:b/>
                        <w:color w:val="FF0000"/>
                        <w:sz w:val="24"/>
                      </w:rPr>
                      <w:fldChar w:fldCharType="end"/>
                    </w:r>
                  </w:p>
                </w:txbxContent>
              </v:textbox>
              <w10:wrap anchorx="margin" anchory="margin"/>
              <w10:anchorlock/>
            </v:shape>
          </w:pict>
        </mc:Fallback>
      </mc:AlternateContent>
    </w:r>
    <w:r w:rsidR="001B07EC">
      <w:rPr>
        <w:noProof/>
      </w:rPr>
      <mc:AlternateContent>
        <mc:Choice Requires="wps">
          <w:drawing>
            <wp:anchor distT="0" distB="0" distL="114300" distR="114300" simplePos="0" relativeHeight="251658240" behindDoc="0" locked="1" layoutInCell="0" allowOverlap="1" wp14:anchorId="6E857961" wp14:editId="4EA199BA">
              <wp:simplePos x="0" y="0"/>
              <wp:positionH relativeFrom="margin">
                <wp:align>center</wp:align>
              </wp:positionH>
              <wp:positionV relativeFrom="topMargin">
                <wp:align>center</wp:align>
              </wp:positionV>
              <wp:extent cx="892175" cy="287020"/>
              <wp:effectExtent l="0" t="0" r="0" b="0"/>
              <wp:wrapNone/>
              <wp:docPr id="504146269" name="Text Box 504146269"/>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1F733" w14:textId="46145F27" w:rsidR="001B07EC" w:rsidRPr="001B07EC" w:rsidRDefault="001B07EC" w:rsidP="001B07EC">
                          <w:pPr>
                            <w:spacing w:after="0"/>
                            <w:jc w:val="center"/>
                            <w:rPr>
                              <w:rFonts w:ascii="Arial" w:hAnsi="Arial" w:cs="Arial"/>
                              <w:b/>
                              <w:color w:val="FF0000"/>
                              <w:sz w:val="24"/>
                            </w:rPr>
                          </w:pPr>
                          <w:r w:rsidRPr="001B07EC">
                            <w:rPr>
                              <w:rFonts w:ascii="Arial" w:hAnsi="Arial" w:cs="Arial"/>
                              <w:b/>
                              <w:color w:val="FF0000"/>
                              <w:sz w:val="24"/>
                            </w:rPr>
                            <w:fldChar w:fldCharType="begin"/>
                          </w:r>
                          <w:r w:rsidRPr="001B07EC">
                            <w:rPr>
                              <w:rFonts w:ascii="Arial" w:hAnsi="Arial" w:cs="Arial"/>
                              <w:b/>
                              <w:color w:val="FF0000"/>
                              <w:sz w:val="24"/>
                            </w:rPr>
                            <w:instrText xml:space="preserve"> DOCPROPERTY PM_ProtectiveMarkingValue_Header \* MERGEFORMAT </w:instrText>
                          </w:r>
                          <w:r w:rsidRPr="001B07EC">
                            <w:rPr>
                              <w:rFonts w:ascii="Arial" w:hAnsi="Arial" w:cs="Arial"/>
                              <w:b/>
                              <w:color w:val="FF0000"/>
                              <w:sz w:val="24"/>
                            </w:rPr>
                            <w:fldChar w:fldCharType="separate"/>
                          </w:r>
                          <w:r w:rsidR="002453CE">
                            <w:rPr>
                              <w:rFonts w:ascii="Arial" w:hAnsi="Arial" w:cs="Arial"/>
                              <w:b/>
                              <w:color w:val="FF0000"/>
                              <w:sz w:val="24"/>
                            </w:rPr>
                            <w:t>OFFICIAL</w:t>
                          </w:r>
                          <w:r w:rsidRPr="001B07E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857961" id="_x0000_t202" coordsize="21600,21600" o:spt="202" path="m,l,21600r21600,l21600,xe">
              <v:stroke joinstyle="miter"/>
              <v:path gradientshapeok="t" o:connecttype="rect"/>
            </v:shapetype>
            <v:shape id="Text Box 504146269" o:spid="_x0000_s1027" type="#_x0000_t202" style="position:absolute;margin-left:0;margin-top:0;width:70.25pt;height:22.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i0fFw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" o:allowincell="f" filled="f" stroked="f" strokeweight=".5pt">
              <v:textbox style="mso-fit-shape-to-text:t">
                <w:txbxContent>
                  <w:p w14:paraId="4701F733" w14:textId="46145F27" w:rsidR="001B07EC" w:rsidRPr="001B07EC" w:rsidRDefault="001B07EC" w:rsidP="001B07EC">
                    <w:pPr>
                      <w:spacing w:after="0"/>
                      <w:jc w:val="center"/>
                      <w:rPr>
                        <w:rFonts w:ascii="Arial" w:hAnsi="Arial" w:cs="Arial"/>
                        <w:b/>
                        <w:color w:val="FF0000"/>
                        <w:sz w:val="24"/>
                      </w:rPr>
                    </w:pPr>
                    <w:r w:rsidRPr="001B07EC">
                      <w:rPr>
                        <w:rFonts w:ascii="Arial" w:hAnsi="Arial" w:cs="Arial"/>
                        <w:b/>
                        <w:color w:val="FF0000"/>
                        <w:sz w:val="24"/>
                      </w:rPr>
                      <w:fldChar w:fldCharType="begin"/>
                    </w:r>
                    <w:r w:rsidRPr="001B07EC">
                      <w:rPr>
                        <w:rFonts w:ascii="Arial" w:hAnsi="Arial" w:cs="Arial"/>
                        <w:b/>
                        <w:color w:val="FF0000"/>
                        <w:sz w:val="24"/>
                      </w:rPr>
                      <w:instrText xml:space="preserve"> DOCPROPERTY PM_ProtectiveMarkingValue_Header \* MERGEFORMAT </w:instrText>
                    </w:r>
                    <w:r w:rsidRPr="001B07EC">
                      <w:rPr>
                        <w:rFonts w:ascii="Arial" w:hAnsi="Arial" w:cs="Arial"/>
                        <w:b/>
                        <w:color w:val="FF0000"/>
                        <w:sz w:val="24"/>
                      </w:rPr>
                      <w:fldChar w:fldCharType="separate"/>
                    </w:r>
                    <w:r w:rsidR="002453CE">
                      <w:rPr>
                        <w:rFonts w:ascii="Arial" w:hAnsi="Arial" w:cs="Arial"/>
                        <w:b/>
                        <w:color w:val="FF0000"/>
                        <w:sz w:val="24"/>
                      </w:rPr>
                      <w:t>OFFICIAL</w:t>
                    </w:r>
                    <w:r w:rsidRPr="001B07EC">
                      <w:rPr>
                        <w:rFonts w:ascii="Arial" w:hAnsi="Arial" w:cs="Arial"/>
                        <w:b/>
                        <w:color w:val="FF0000"/>
                        <w:sz w:val="24"/>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F08D3" w14:textId="41C2C8A3" w:rsidR="001B07EC" w:rsidRDefault="00234E4F">
    <w:pPr>
      <w:pStyle w:val="Header"/>
    </w:pPr>
    <w:r>
      <w:rPr>
        <w:noProof/>
      </w:rPr>
      <mc:AlternateContent>
        <mc:Choice Requires="wps">
          <w:drawing>
            <wp:anchor distT="0" distB="0" distL="114300" distR="114300" simplePos="0" relativeHeight="251660293" behindDoc="0" locked="1" layoutInCell="0" allowOverlap="1" wp14:anchorId="6897DDE5" wp14:editId="4E7FDC10">
              <wp:simplePos x="0" y="0"/>
              <wp:positionH relativeFrom="margin">
                <wp:align>center</wp:align>
              </wp:positionH>
              <wp:positionV relativeFrom="topMargin">
                <wp:align>center</wp:align>
              </wp:positionV>
              <wp:extent cx="892175" cy="287020"/>
              <wp:effectExtent l="0" t="0" r="0" b="0"/>
              <wp:wrapNone/>
              <wp:docPr id="474187502" name="janusSEAL SC H_FirstPage"/>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2E1870" w14:textId="5D8366BA" w:rsidR="00234E4F" w:rsidRPr="00234E4F" w:rsidRDefault="00234E4F" w:rsidP="00234E4F">
                          <w:pPr>
                            <w:spacing w:after="0"/>
                            <w:jc w:val="center"/>
                            <w:rPr>
                              <w:rFonts w:ascii="Arial" w:hAnsi="Arial" w:cs="Arial"/>
                              <w:b/>
                              <w:color w:val="FF0000"/>
                              <w:sz w:val="24"/>
                            </w:rPr>
                          </w:pPr>
                          <w:r w:rsidRPr="00234E4F">
                            <w:rPr>
                              <w:rFonts w:ascii="Arial" w:hAnsi="Arial" w:cs="Arial"/>
                              <w:b/>
                              <w:color w:val="FF0000"/>
                              <w:sz w:val="24"/>
                            </w:rPr>
                            <w:fldChar w:fldCharType="begin"/>
                          </w:r>
                          <w:r w:rsidRPr="00234E4F">
                            <w:rPr>
                              <w:rFonts w:ascii="Arial" w:hAnsi="Arial" w:cs="Arial"/>
                              <w:b/>
                              <w:color w:val="FF0000"/>
                              <w:sz w:val="24"/>
                            </w:rPr>
                            <w:instrText xml:space="preserve"> DOCPROPERTY PM_ProtectiveMarkingValue_Header \* MERGEFORMAT </w:instrText>
                          </w:r>
                          <w:r w:rsidRPr="00234E4F">
                            <w:rPr>
                              <w:rFonts w:ascii="Arial" w:hAnsi="Arial" w:cs="Arial"/>
                              <w:b/>
                              <w:color w:val="FF0000"/>
                              <w:sz w:val="24"/>
                            </w:rPr>
                            <w:fldChar w:fldCharType="separate"/>
                          </w:r>
                          <w:r>
                            <w:rPr>
                              <w:rFonts w:ascii="Arial" w:hAnsi="Arial" w:cs="Arial"/>
                              <w:b/>
                              <w:color w:val="FF0000"/>
                              <w:sz w:val="24"/>
                            </w:rPr>
                            <w:t>OFFICIAL</w:t>
                          </w:r>
                          <w:r w:rsidRPr="00234E4F">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897DDE5" id="_x0000_t202" coordsize="21600,21600" o:spt="202" path="m,l,21600r21600,l21600,xe">
              <v:stroke joinstyle="miter"/>
              <v:path gradientshapeok="t" o:connecttype="rect"/>
            </v:shapetype>
            <v:shape id="janusSEAL SC H_FirstPage" o:spid="_x0000_s1034" type="#_x0000_t202" style="position:absolute;margin-left:0;margin-top:0;width:70.25pt;height:22.6pt;z-index:25166029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J7jGQ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" o:allowincell="f" filled="f" stroked="f" strokeweight=".5pt">
              <v:fill o:detectmouseclick="t"/>
              <v:textbox style="mso-fit-shape-to-text:t">
                <w:txbxContent>
                  <w:p w14:paraId="512E1870" w14:textId="5D8366BA" w:rsidR="00234E4F" w:rsidRPr="00234E4F" w:rsidRDefault="00234E4F" w:rsidP="00234E4F">
                    <w:pPr>
                      <w:spacing w:after="0"/>
                      <w:jc w:val="center"/>
                      <w:rPr>
                        <w:rFonts w:ascii="Arial" w:hAnsi="Arial" w:cs="Arial"/>
                        <w:b/>
                        <w:color w:val="FF0000"/>
                        <w:sz w:val="24"/>
                      </w:rPr>
                    </w:pPr>
                    <w:r w:rsidRPr="00234E4F">
                      <w:rPr>
                        <w:rFonts w:ascii="Arial" w:hAnsi="Arial" w:cs="Arial"/>
                        <w:b/>
                        <w:color w:val="FF0000"/>
                        <w:sz w:val="24"/>
                      </w:rPr>
                      <w:fldChar w:fldCharType="begin"/>
                    </w:r>
                    <w:r w:rsidRPr="00234E4F">
                      <w:rPr>
                        <w:rFonts w:ascii="Arial" w:hAnsi="Arial" w:cs="Arial"/>
                        <w:b/>
                        <w:color w:val="FF0000"/>
                        <w:sz w:val="24"/>
                      </w:rPr>
                      <w:instrText xml:space="preserve"> DOCPROPERTY PM_ProtectiveMarkingValue_Header \* MERGEFORMAT </w:instrText>
                    </w:r>
                    <w:r w:rsidRPr="00234E4F">
                      <w:rPr>
                        <w:rFonts w:ascii="Arial" w:hAnsi="Arial" w:cs="Arial"/>
                        <w:b/>
                        <w:color w:val="FF0000"/>
                        <w:sz w:val="24"/>
                      </w:rPr>
                      <w:fldChar w:fldCharType="separate"/>
                    </w:r>
                    <w:r>
                      <w:rPr>
                        <w:rFonts w:ascii="Arial" w:hAnsi="Arial" w:cs="Arial"/>
                        <w:b/>
                        <w:color w:val="FF0000"/>
                        <w:sz w:val="24"/>
                      </w:rPr>
                      <w:t>OFFICIAL</w:t>
                    </w:r>
                    <w:r w:rsidRPr="00234E4F">
                      <w:rPr>
                        <w:rFonts w:ascii="Arial" w:hAnsi="Arial" w:cs="Arial"/>
                        <w:b/>
                        <w:color w:val="FF0000"/>
                        <w:sz w:val="24"/>
                      </w:rPr>
                      <w:fldChar w:fldCharType="end"/>
                    </w:r>
                  </w:p>
                </w:txbxContent>
              </v:textbox>
              <w10:wrap anchorx="margin" anchory="margin"/>
              <w10:anchorlock/>
            </v:shape>
          </w:pict>
        </mc:Fallback>
      </mc:AlternateContent>
    </w:r>
    <w:r w:rsidR="001B07EC">
      <w:rPr>
        <w:noProof/>
      </w:rPr>
      <mc:AlternateContent>
        <mc:Choice Requires="wps">
          <w:drawing>
            <wp:anchor distT="0" distB="0" distL="114300" distR="114300" simplePos="0" relativeHeight="251658241" behindDoc="0" locked="1" layoutInCell="0" allowOverlap="1" wp14:anchorId="6AAAE25F" wp14:editId="2D9CDD4B">
              <wp:simplePos x="0" y="0"/>
              <wp:positionH relativeFrom="margin">
                <wp:align>center</wp:align>
              </wp:positionH>
              <wp:positionV relativeFrom="topMargin">
                <wp:align>center</wp:align>
              </wp:positionV>
              <wp:extent cx="892175" cy="287020"/>
              <wp:effectExtent l="0" t="0" r="0" b="0"/>
              <wp:wrapNone/>
              <wp:docPr id="1796919890" name="Text Box 1796919890"/>
              <wp:cNvGraphicFramePr/>
              <a:graphic xmlns:a="http://schemas.openxmlformats.org/drawingml/2006/main">
                <a:graphicData uri="http://schemas.microsoft.com/office/word/2010/wordprocessingShape">
                  <wps:wsp>
                    <wps:cNvSpPr txBox="1"/>
                    <wps:spPr>
                      <a:xfrm>
                        <a:off x="0" y="0"/>
                        <a:ext cx="892175" cy="2870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ADE2C" w14:textId="2637B87D" w:rsidR="001B07EC" w:rsidRPr="001B07EC" w:rsidRDefault="001B07EC" w:rsidP="001B07EC">
                          <w:pPr>
                            <w:spacing w:after="0"/>
                            <w:jc w:val="center"/>
                            <w:rPr>
                              <w:rFonts w:ascii="Arial" w:hAnsi="Arial" w:cs="Arial"/>
                              <w:b/>
                              <w:color w:val="FF0000"/>
                              <w:sz w:val="24"/>
                            </w:rPr>
                          </w:pPr>
                          <w:r w:rsidRPr="001B07EC">
                            <w:rPr>
                              <w:rFonts w:ascii="Arial" w:hAnsi="Arial" w:cs="Arial"/>
                              <w:b/>
                              <w:color w:val="FF0000"/>
                              <w:sz w:val="24"/>
                            </w:rPr>
                            <w:fldChar w:fldCharType="begin"/>
                          </w:r>
                          <w:r w:rsidRPr="001B07EC">
                            <w:rPr>
                              <w:rFonts w:ascii="Arial" w:hAnsi="Arial" w:cs="Arial"/>
                              <w:b/>
                              <w:color w:val="FF0000"/>
                              <w:sz w:val="24"/>
                            </w:rPr>
                            <w:instrText xml:space="preserve"> DOCPROPERTY PM_ProtectiveMarkingValue_Header \* MERGEFORMAT </w:instrText>
                          </w:r>
                          <w:r w:rsidRPr="001B07EC">
                            <w:rPr>
                              <w:rFonts w:ascii="Arial" w:hAnsi="Arial" w:cs="Arial"/>
                              <w:b/>
                              <w:color w:val="FF0000"/>
                              <w:sz w:val="24"/>
                            </w:rPr>
                            <w:fldChar w:fldCharType="separate"/>
                          </w:r>
                          <w:r w:rsidR="002453CE">
                            <w:rPr>
                              <w:rFonts w:ascii="Arial" w:hAnsi="Arial" w:cs="Arial"/>
                              <w:b/>
                              <w:color w:val="FF0000"/>
                              <w:sz w:val="24"/>
                            </w:rPr>
                            <w:t>OFFICIAL</w:t>
                          </w:r>
                          <w:r w:rsidRPr="001B07EC">
                            <w:rPr>
                              <w:rFonts w:ascii="Arial" w:hAnsi="Arial" w:cs="Arial"/>
                              <w:b/>
                              <w:color w:val="FF00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AAE25F" id="_x0000_t202" coordsize="21600,21600" o:spt="202" path="m,l,21600r21600,l21600,xe">
              <v:stroke joinstyle="miter"/>
              <v:path gradientshapeok="t" o:connecttype="rect"/>
            </v:shapetype>
            <v:shape id="Text Box 1796919890" o:spid="_x0000_s1030" type="#_x0000_t202" style="position:absolute;margin-left:0;margin-top:0;width:70.25pt;height:22.6pt;z-index:251658241;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" o:allowincell="f" filled="f" stroked="f" strokeweight=".5pt">
              <v:textbox style="mso-fit-shape-to-text:t">
                <w:txbxContent>
                  <w:p w14:paraId="7BAADE2C" w14:textId="2637B87D" w:rsidR="001B07EC" w:rsidRPr="001B07EC" w:rsidRDefault="001B07EC" w:rsidP="001B07EC">
                    <w:pPr>
                      <w:spacing w:after="0"/>
                      <w:jc w:val="center"/>
                      <w:rPr>
                        <w:rFonts w:ascii="Arial" w:hAnsi="Arial" w:cs="Arial"/>
                        <w:b/>
                        <w:color w:val="FF0000"/>
                        <w:sz w:val="24"/>
                      </w:rPr>
                    </w:pPr>
                    <w:r w:rsidRPr="001B07EC">
                      <w:rPr>
                        <w:rFonts w:ascii="Arial" w:hAnsi="Arial" w:cs="Arial"/>
                        <w:b/>
                        <w:color w:val="FF0000"/>
                        <w:sz w:val="24"/>
                      </w:rPr>
                      <w:fldChar w:fldCharType="begin"/>
                    </w:r>
                    <w:r w:rsidRPr="001B07EC">
                      <w:rPr>
                        <w:rFonts w:ascii="Arial" w:hAnsi="Arial" w:cs="Arial"/>
                        <w:b/>
                        <w:color w:val="FF0000"/>
                        <w:sz w:val="24"/>
                      </w:rPr>
                      <w:instrText xml:space="preserve"> DOCPROPERTY PM_ProtectiveMarkingValue_Header \* MERGEFORMAT </w:instrText>
                    </w:r>
                    <w:r w:rsidRPr="001B07EC">
                      <w:rPr>
                        <w:rFonts w:ascii="Arial" w:hAnsi="Arial" w:cs="Arial"/>
                        <w:b/>
                        <w:color w:val="FF0000"/>
                        <w:sz w:val="24"/>
                      </w:rPr>
                      <w:fldChar w:fldCharType="separate"/>
                    </w:r>
                    <w:r w:rsidR="002453CE">
                      <w:rPr>
                        <w:rFonts w:ascii="Arial" w:hAnsi="Arial" w:cs="Arial"/>
                        <w:b/>
                        <w:color w:val="FF0000"/>
                        <w:sz w:val="24"/>
                      </w:rPr>
                      <w:t>OFFICIAL</w:t>
                    </w:r>
                    <w:r w:rsidRPr="001B07EC">
                      <w:rPr>
                        <w:rFonts w:ascii="Arial" w:hAnsi="Arial" w:cs="Arial"/>
                        <w:b/>
                        <w:color w:val="FF0000"/>
                        <w:sz w:val="24"/>
                      </w:rPr>
                      <w:fldChar w:fldCharType="end"/>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A1C58"/>
    <w:multiLevelType w:val="hybridMultilevel"/>
    <w:tmpl w:val="4F6C4B56"/>
    <w:lvl w:ilvl="0" w:tplc="6F06CD08">
      <w:start w:val="1"/>
      <w:numFmt w:val="decimal"/>
      <w:lvlText w:val="%1."/>
      <w:lvlJc w:val="left"/>
      <w:pPr>
        <w:ind w:left="720" w:hanging="360"/>
      </w:pPr>
      <w:rPr>
        <w:color w:val="auto"/>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BBAE51"/>
    <w:multiLevelType w:val="hybridMultilevel"/>
    <w:tmpl w:val="4B86CE48"/>
    <w:lvl w:ilvl="0" w:tplc="4B2EA320">
      <w:start w:val="1"/>
      <w:numFmt w:val="lowerLetter"/>
      <w:lvlText w:val="%1."/>
      <w:lvlJc w:val="left"/>
      <w:pPr>
        <w:ind w:left="1080" w:hanging="360"/>
      </w:pPr>
    </w:lvl>
    <w:lvl w:ilvl="1" w:tplc="7960C140">
      <w:start w:val="1"/>
      <w:numFmt w:val="lowerLetter"/>
      <w:lvlText w:val="%2."/>
      <w:lvlJc w:val="left"/>
      <w:pPr>
        <w:ind w:left="1800" w:hanging="360"/>
      </w:pPr>
    </w:lvl>
    <w:lvl w:ilvl="2" w:tplc="6E8A21BA">
      <w:start w:val="1"/>
      <w:numFmt w:val="lowerRoman"/>
      <w:lvlText w:val="%3."/>
      <w:lvlJc w:val="right"/>
      <w:pPr>
        <w:ind w:left="2520" w:hanging="180"/>
      </w:pPr>
    </w:lvl>
    <w:lvl w:ilvl="3" w:tplc="4F303AA2">
      <w:start w:val="1"/>
      <w:numFmt w:val="decimal"/>
      <w:lvlText w:val="%4."/>
      <w:lvlJc w:val="left"/>
      <w:pPr>
        <w:ind w:left="3240" w:hanging="360"/>
      </w:pPr>
    </w:lvl>
    <w:lvl w:ilvl="4" w:tplc="C51EB980">
      <w:start w:val="1"/>
      <w:numFmt w:val="lowerLetter"/>
      <w:lvlText w:val="%5."/>
      <w:lvlJc w:val="left"/>
      <w:pPr>
        <w:ind w:left="3960" w:hanging="360"/>
      </w:pPr>
    </w:lvl>
    <w:lvl w:ilvl="5" w:tplc="D80CE182">
      <w:start w:val="1"/>
      <w:numFmt w:val="lowerRoman"/>
      <w:lvlText w:val="%6."/>
      <w:lvlJc w:val="right"/>
      <w:pPr>
        <w:ind w:left="4680" w:hanging="180"/>
      </w:pPr>
    </w:lvl>
    <w:lvl w:ilvl="6" w:tplc="D138FB4C">
      <w:start w:val="1"/>
      <w:numFmt w:val="decimal"/>
      <w:lvlText w:val="%7."/>
      <w:lvlJc w:val="left"/>
      <w:pPr>
        <w:ind w:left="5400" w:hanging="360"/>
      </w:pPr>
    </w:lvl>
    <w:lvl w:ilvl="7" w:tplc="5744317A">
      <w:start w:val="1"/>
      <w:numFmt w:val="lowerLetter"/>
      <w:lvlText w:val="%8."/>
      <w:lvlJc w:val="left"/>
      <w:pPr>
        <w:ind w:left="6120" w:hanging="360"/>
      </w:pPr>
    </w:lvl>
    <w:lvl w:ilvl="8" w:tplc="92B844E8">
      <w:start w:val="1"/>
      <w:numFmt w:val="lowerRoman"/>
      <w:lvlText w:val="%9."/>
      <w:lvlJc w:val="right"/>
      <w:pPr>
        <w:ind w:left="6840" w:hanging="180"/>
      </w:pPr>
    </w:lvl>
  </w:abstractNum>
  <w:abstractNum w:abstractNumId="2" w15:restartNumberingAfterBreak="0">
    <w:nsid w:val="04597DB2"/>
    <w:multiLevelType w:val="hybridMultilevel"/>
    <w:tmpl w:val="0ED8B384"/>
    <w:lvl w:ilvl="0" w:tplc="0C090001">
      <w:start w:val="1"/>
      <w:numFmt w:val="bullet"/>
      <w:lvlText w:val=""/>
      <w:lvlJc w:val="left"/>
      <w:pPr>
        <w:ind w:left="1440" w:hanging="360"/>
      </w:pPr>
      <w:rPr>
        <w:rFonts w:ascii="Symbol" w:hAnsi="Symbol" w:hint="default"/>
        <w:color w:val="auto"/>
        <w:sz w:val="26"/>
        <w:szCs w:val="26"/>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 w15:restartNumberingAfterBreak="0">
    <w:nsid w:val="0D4E16B3"/>
    <w:multiLevelType w:val="hybridMultilevel"/>
    <w:tmpl w:val="2EC6C4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9F4B3B"/>
    <w:multiLevelType w:val="hybridMultilevel"/>
    <w:tmpl w:val="9E5EF9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F60105D"/>
    <w:multiLevelType w:val="hybridMultilevel"/>
    <w:tmpl w:val="6A48C1C0"/>
    <w:lvl w:ilvl="0" w:tplc="4B2EA320">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 w15:restartNumberingAfterBreak="0">
    <w:nsid w:val="10E16E6A"/>
    <w:multiLevelType w:val="hybridMultilevel"/>
    <w:tmpl w:val="631E0936"/>
    <w:lvl w:ilvl="0" w:tplc="AA6C85A6">
      <w:start w:val="1"/>
      <w:numFmt w:val="decimal"/>
      <w:lvlText w:val="%1."/>
      <w:lvlJc w:val="left"/>
      <w:pPr>
        <w:ind w:left="720" w:hanging="360"/>
      </w:pPr>
    </w:lvl>
    <w:lvl w:ilvl="1" w:tplc="D65C3C36">
      <w:start w:val="1"/>
      <w:numFmt w:val="lowerLetter"/>
      <w:lvlText w:val="%2."/>
      <w:lvlJc w:val="left"/>
      <w:pPr>
        <w:ind w:left="1440" w:hanging="360"/>
      </w:pPr>
    </w:lvl>
    <w:lvl w:ilvl="2" w:tplc="441AEFBC">
      <w:start w:val="1"/>
      <w:numFmt w:val="lowerRoman"/>
      <w:lvlText w:val="%3."/>
      <w:lvlJc w:val="right"/>
      <w:pPr>
        <w:ind w:left="2160" w:hanging="180"/>
      </w:pPr>
    </w:lvl>
    <w:lvl w:ilvl="3" w:tplc="9E0CA486">
      <w:start w:val="1"/>
      <w:numFmt w:val="decimal"/>
      <w:lvlText w:val="%4."/>
      <w:lvlJc w:val="left"/>
      <w:pPr>
        <w:ind w:left="2880" w:hanging="360"/>
      </w:pPr>
    </w:lvl>
    <w:lvl w:ilvl="4" w:tplc="42DECDAE">
      <w:start w:val="1"/>
      <w:numFmt w:val="lowerLetter"/>
      <w:lvlText w:val="%5."/>
      <w:lvlJc w:val="left"/>
      <w:pPr>
        <w:ind w:left="3600" w:hanging="360"/>
      </w:pPr>
    </w:lvl>
    <w:lvl w:ilvl="5" w:tplc="496E62AE">
      <w:start w:val="1"/>
      <w:numFmt w:val="lowerRoman"/>
      <w:lvlText w:val="%6."/>
      <w:lvlJc w:val="right"/>
      <w:pPr>
        <w:ind w:left="4320" w:hanging="180"/>
      </w:pPr>
    </w:lvl>
    <w:lvl w:ilvl="6" w:tplc="3CE235D2">
      <w:start w:val="1"/>
      <w:numFmt w:val="decimal"/>
      <w:lvlText w:val="%7."/>
      <w:lvlJc w:val="left"/>
      <w:pPr>
        <w:ind w:left="5040" w:hanging="360"/>
      </w:pPr>
    </w:lvl>
    <w:lvl w:ilvl="7" w:tplc="17B4D8FC">
      <w:start w:val="1"/>
      <w:numFmt w:val="lowerLetter"/>
      <w:lvlText w:val="%8."/>
      <w:lvlJc w:val="left"/>
      <w:pPr>
        <w:ind w:left="5760" w:hanging="360"/>
      </w:pPr>
    </w:lvl>
    <w:lvl w:ilvl="8" w:tplc="FE82738A">
      <w:start w:val="1"/>
      <w:numFmt w:val="lowerRoman"/>
      <w:lvlText w:val="%9."/>
      <w:lvlJc w:val="right"/>
      <w:pPr>
        <w:ind w:left="6480" w:hanging="180"/>
      </w:pPr>
    </w:lvl>
  </w:abstractNum>
  <w:abstractNum w:abstractNumId="7" w15:restartNumberingAfterBreak="0">
    <w:nsid w:val="174A1A40"/>
    <w:multiLevelType w:val="hybridMultilevel"/>
    <w:tmpl w:val="8AA2F0EC"/>
    <w:lvl w:ilvl="0" w:tplc="FFFFFFFF">
      <w:start w:val="1"/>
      <w:numFmt w:val="lowerRoman"/>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15:restartNumberingAfterBreak="0">
    <w:nsid w:val="1FF55001"/>
    <w:multiLevelType w:val="hybridMultilevel"/>
    <w:tmpl w:val="8AA2F0EC"/>
    <w:lvl w:ilvl="0" w:tplc="334E90E8">
      <w:start w:val="1"/>
      <w:numFmt w:val="lowerRoman"/>
      <w:lvlText w:val="%1."/>
      <w:lvlJc w:val="left"/>
      <w:pPr>
        <w:ind w:left="1080" w:hanging="360"/>
      </w:pPr>
    </w:lvl>
    <w:lvl w:ilvl="1" w:tplc="B8CCF560">
      <w:start w:val="1"/>
      <w:numFmt w:val="lowerLetter"/>
      <w:lvlText w:val="%2."/>
      <w:lvlJc w:val="left"/>
      <w:pPr>
        <w:ind w:left="1800" w:hanging="360"/>
      </w:pPr>
    </w:lvl>
    <w:lvl w:ilvl="2" w:tplc="2660BDA0">
      <w:start w:val="1"/>
      <w:numFmt w:val="lowerRoman"/>
      <w:lvlText w:val="%3."/>
      <w:lvlJc w:val="right"/>
      <w:pPr>
        <w:ind w:left="2520" w:hanging="180"/>
      </w:pPr>
    </w:lvl>
    <w:lvl w:ilvl="3" w:tplc="33803D88">
      <w:start w:val="1"/>
      <w:numFmt w:val="decimal"/>
      <w:lvlText w:val="%4."/>
      <w:lvlJc w:val="left"/>
      <w:pPr>
        <w:ind w:left="3240" w:hanging="360"/>
      </w:pPr>
    </w:lvl>
    <w:lvl w:ilvl="4" w:tplc="0EAC3FF8">
      <w:start w:val="1"/>
      <w:numFmt w:val="lowerLetter"/>
      <w:lvlText w:val="%5."/>
      <w:lvlJc w:val="left"/>
      <w:pPr>
        <w:ind w:left="3960" w:hanging="360"/>
      </w:pPr>
    </w:lvl>
    <w:lvl w:ilvl="5" w:tplc="86FE3048">
      <w:start w:val="1"/>
      <w:numFmt w:val="lowerRoman"/>
      <w:lvlText w:val="%6."/>
      <w:lvlJc w:val="right"/>
      <w:pPr>
        <w:ind w:left="4680" w:hanging="180"/>
      </w:pPr>
    </w:lvl>
    <w:lvl w:ilvl="6" w:tplc="A62C7984">
      <w:start w:val="1"/>
      <w:numFmt w:val="decimal"/>
      <w:lvlText w:val="%7."/>
      <w:lvlJc w:val="left"/>
      <w:pPr>
        <w:ind w:left="5400" w:hanging="360"/>
      </w:pPr>
    </w:lvl>
    <w:lvl w:ilvl="7" w:tplc="2FD8D316">
      <w:start w:val="1"/>
      <w:numFmt w:val="lowerLetter"/>
      <w:lvlText w:val="%8."/>
      <w:lvlJc w:val="left"/>
      <w:pPr>
        <w:ind w:left="6120" w:hanging="360"/>
      </w:pPr>
    </w:lvl>
    <w:lvl w:ilvl="8" w:tplc="B25CF4C8">
      <w:start w:val="1"/>
      <w:numFmt w:val="lowerRoman"/>
      <w:lvlText w:val="%9."/>
      <w:lvlJc w:val="right"/>
      <w:pPr>
        <w:ind w:left="6840" w:hanging="180"/>
      </w:pPr>
    </w:lvl>
  </w:abstractNum>
  <w:abstractNum w:abstractNumId="9" w15:restartNumberingAfterBreak="0">
    <w:nsid w:val="22D753D6"/>
    <w:multiLevelType w:val="hybridMultilevel"/>
    <w:tmpl w:val="BB82243A"/>
    <w:lvl w:ilvl="0" w:tplc="0C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31800E3"/>
    <w:multiLevelType w:val="hybridMultilevel"/>
    <w:tmpl w:val="4B86CE4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236D493E"/>
    <w:multiLevelType w:val="hybridMultilevel"/>
    <w:tmpl w:val="68283D3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23BA4A52"/>
    <w:multiLevelType w:val="hybridMultilevel"/>
    <w:tmpl w:val="D804B87E"/>
    <w:lvl w:ilvl="0" w:tplc="FED6EECE">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9246DF"/>
    <w:multiLevelType w:val="hybridMultilevel"/>
    <w:tmpl w:val="4B86CE4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352F77C1"/>
    <w:multiLevelType w:val="hybridMultilevel"/>
    <w:tmpl w:val="4B86CE4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37C83610"/>
    <w:multiLevelType w:val="hybridMultilevel"/>
    <w:tmpl w:val="4B86CE4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6" w15:restartNumberingAfterBreak="0">
    <w:nsid w:val="3ADBADB4"/>
    <w:multiLevelType w:val="hybridMultilevel"/>
    <w:tmpl w:val="B420C1E2"/>
    <w:lvl w:ilvl="0" w:tplc="A0B23D60">
      <w:start w:val="1"/>
      <w:numFmt w:val="lowerLetter"/>
      <w:lvlText w:val="%1."/>
      <w:lvlJc w:val="left"/>
      <w:pPr>
        <w:ind w:left="1080" w:hanging="360"/>
      </w:pPr>
    </w:lvl>
    <w:lvl w:ilvl="1" w:tplc="FAC2743A">
      <w:start w:val="1"/>
      <w:numFmt w:val="lowerLetter"/>
      <w:lvlText w:val="%2."/>
      <w:lvlJc w:val="left"/>
      <w:pPr>
        <w:ind w:left="1800" w:hanging="360"/>
      </w:pPr>
    </w:lvl>
    <w:lvl w:ilvl="2" w:tplc="53101EF2">
      <w:start w:val="1"/>
      <w:numFmt w:val="lowerRoman"/>
      <w:lvlText w:val="%3."/>
      <w:lvlJc w:val="right"/>
      <w:pPr>
        <w:ind w:left="2520" w:hanging="180"/>
      </w:pPr>
    </w:lvl>
    <w:lvl w:ilvl="3" w:tplc="814817EC">
      <w:start w:val="1"/>
      <w:numFmt w:val="decimal"/>
      <w:lvlText w:val="%4."/>
      <w:lvlJc w:val="left"/>
      <w:pPr>
        <w:ind w:left="3240" w:hanging="360"/>
      </w:pPr>
    </w:lvl>
    <w:lvl w:ilvl="4" w:tplc="0268AFFA">
      <w:start w:val="1"/>
      <w:numFmt w:val="lowerLetter"/>
      <w:lvlText w:val="%5."/>
      <w:lvlJc w:val="left"/>
      <w:pPr>
        <w:ind w:left="3960" w:hanging="360"/>
      </w:pPr>
    </w:lvl>
    <w:lvl w:ilvl="5" w:tplc="904AD7D4">
      <w:start w:val="1"/>
      <w:numFmt w:val="lowerRoman"/>
      <w:lvlText w:val="%6."/>
      <w:lvlJc w:val="right"/>
      <w:pPr>
        <w:ind w:left="4680" w:hanging="180"/>
      </w:pPr>
    </w:lvl>
    <w:lvl w:ilvl="6" w:tplc="9DE6324A">
      <w:start w:val="1"/>
      <w:numFmt w:val="decimal"/>
      <w:lvlText w:val="%7."/>
      <w:lvlJc w:val="left"/>
      <w:pPr>
        <w:ind w:left="5400" w:hanging="360"/>
      </w:pPr>
    </w:lvl>
    <w:lvl w:ilvl="7" w:tplc="BCA46F6E">
      <w:start w:val="1"/>
      <w:numFmt w:val="lowerLetter"/>
      <w:lvlText w:val="%8."/>
      <w:lvlJc w:val="left"/>
      <w:pPr>
        <w:ind w:left="6120" w:hanging="360"/>
      </w:pPr>
    </w:lvl>
    <w:lvl w:ilvl="8" w:tplc="648A837A">
      <w:start w:val="1"/>
      <w:numFmt w:val="lowerRoman"/>
      <w:lvlText w:val="%9."/>
      <w:lvlJc w:val="right"/>
      <w:pPr>
        <w:ind w:left="6840" w:hanging="180"/>
      </w:pPr>
    </w:lvl>
  </w:abstractNum>
  <w:abstractNum w:abstractNumId="17" w15:restartNumberingAfterBreak="0">
    <w:nsid w:val="3EB01632"/>
    <w:multiLevelType w:val="hybridMultilevel"/>
    <w:tmpl w:val="729C4F72"/>
    <w:lvl w:ilvl="0" w:tplc="FED6EECE">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B70990"/>
    <w:multiLevelType w:val="hybridMultilevel"/>
    <w:tmpl w:val="1C72A83A"/>
    <w:lvl w:ilvl="0" w:tplc="FFFFFFFF">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972906"/>
    <w:multiLevelType w:val="hybridMultilevel"/>
    <w:tmpl w:val="B260C110"/>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4A184E45"/>
    <w:multiLevelType w:val="hybridMultilevel"/>
    <w:tmpl w:val="34422FC2"/>
    <w:lvl w:ilvl="0" w:tplc="8CCCF2F2">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B7B0239"/>
    <w:multiLevelType w:val="hybridMultilevel"/>
    <w:tmpl w:val="001690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B931736"/>
    <w:multiLevelType w:val="hybridMultilevel"/>
    <w:tmpl w:val="29C6D9DA"/>
    <w:lvl w:ilvl="0" w:tplc="0C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3" w15:restartNumberingAfterBreak="0">
    <w:nsid w:val="4C726EF0"/>
    <w:multiLevelType w:val="hybridMultilevel"/>
    <w:tmpl w:val="7534C060"/>
    <w:lvl w:ilvl="0" w:tplc="4B2EA320">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2513871"/>
    <w:multiLevelType w:val="hybridMultilevel"/>
    <w:tmpl w:val="4F6C4B56"/>
    <w:lvl w:ilvl="0" w:tplc="FFFFFFFF">
      <w:start w:val="1"/>
      <w:numFmt w:val="decimal"/>
      <w:lvlText w:val="%1."/>
      <w:lvlJc w:val="left"/>
      <w:pPr>
        <w:ind w:left="720" w:hanging="360"/>
      </w:pPr>
      <w:rPr>
        <w:color w:val="auto"/>
        <w:sz w:val="26"/>
        <w:szCs w:val="26"/>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2C64FFA"/>
    <w:multiLevelType w:val="hybridMultilevel"/>
    <w:tmpl w:val="4B86CE4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 w15:restartNumberingAfterBreak="0">
    <w:nsid w:val="54662187"/>
    <w:multiLevelType w:val="hybridMultilevel"/>
    <w:tmpl w:val="ED72CE46"/>
    <w:lvl w:ilvl="0" w:tplc="4B2EA32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8F45D90"/>
    <w:multiLevelType w:val="hybridMultilevel"/>
    <w:tmpl w:val="631E09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5A68034E"/>
    <w:multiLevelType w:val="hybridMultilevel"/>
    <w:tmpl w:val="FA0E74D0"/>
    <w:lvl w:ilvl="0" w:tplc="4B2EA320">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D5F4EF6"/>
    <w:multiLevelType w:val="hybridMultilevel"/>
    <w:tmpl w:val="C8C265FC"/>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30" w15:restartNumberingAfterBreak="0">
    <w:nsid w:val="61E7CACE"/>
    <w:multiLevelType w:val="hybridMultilevel"/>
    <w:tmpl w:val="FFFFFFFF"/>
    <w:lvl w:ilvl="0" w:tplc="9B2C7810">
      <w:start w:val="1"/>
      <w:numFmt w:val="lowerLetter"/>
      <w:lvlText w:val="%1."/>
      <w:lvlJc w:val="left"/>
      <w:pPr>
        <w:ind w:left="1080" w:hanging="360"/>
      </w:pPr>
    </w:lvl>
    <w:lvl w:ilvl="1" w:tplc="723E109E">
      <w:start w:val="1"/>
      <w:numFmt w:val="lowerLetter"/>
      <w:lvlText w:val="%2."/>
      <w:lvlJc w:val="left"/>
      <w:pPr>
        <w:ind w:left="1800" w:hanging="360"/>
      </w:pPr>
    </w:lvl>
    <w:lvl w:ilvl="2" w:tplc="F7F65922">
      <w:start w:val="1"/>
      <w:numFmt w:val="lowerRoman"/>
      <w:lvlText w:val="%3."/>
      <w:lvlJc w:val="right"/>
      <w:pPr>
        <w:ind w:left="2520" w:hanging="180"/>
      </w:pPr>
    </w:lvl>
    <w:lvl w:ilvl="3" w:tplc="C7A0D044">
      <w:start w:val="1"/>
      <w:numFmt w:val="decimal"/>
      <w:lvlText w:val="%4."/>
      <w:lvlJc w:val="left"/>
      <w:pPr>
        <w:ind w:left="3240" w:hanging="360"/>
      </w:pPr>
    </w:lvl>
    <w:lvl w:ilvl="4" w:tplc="375C39F0">
      <w:start w:val="1"/>
      <w:numFmt w:val="lowerLetter"/>
      <w:lvlText w:val="%5."/>
      <w:lvlJc w:val="left"/>
      <w:pPr>
        <w:ind w:left="3960" w:hanging="360"/>
      </w:pPr>
    </w:lvl>
    <w:lvl w:ilvl="5" w:tplc="0B7CFC8E">
      <w:start w:val="1"/>
      <w:numFmt w:val="lowerRoman"/>
      <w:lvlText w:val="%6."/>
      <w:lvlJc w:val="right"/>
      <w:pPr>
        <w:ind w:left="4680" w:hanging="180"/>
      </w:pPr>
    </w:lvl>
    <w:lvl w:ilvl="6" w:tplc="6DD86FC6">
      <w:start w:val="1"/>
      <w:numFmt w:val="decimal"/>
      <w:lvlText w:val="%7."/>
      <w:lvlJc w:val="left"/>
      <w:pPr>
        <w:ind w:left="5400" w:hanging="360"/>
      </w:pPr>
    </w:lvl>
    <w:lvl w:ilvl="7" w:tplc="64208CE4">
      <w:start w:val="1"/>
      <w:numFmt w:val="lowerLetter"/>
      <w:lvlText w:val="%8."/>
      <w:lvlJc w:val="left"/>
      <w:pPr>
        <w:ind w:left="6120" w:hanging="360"/>
      </w:pPr>
    </w:lvl>
    <w:lvl w:ilvl="8" w:tplc="85963940">
      <w:start w:val="1"/>
      <w:numFmt w:val="lowerRoman"/>
      <w:lvlText w:val="%9."/>
      <w:lvlJc w:val="right"/>
      <w:pPr>
        <w:ind w:left="6840" w:hanging="180"/>
      </w:pPr>
    </w:lvl>
  </w:abstractNum>
  <w:abstractNum w:abstractNumId="31" w15:restartNumberingAfterBreak="0">
    <w:nsid w:val="63975167"/>
    <w:multiLevelType w:val="hybridMultilevel"/>
    <w:tmpl w:val="419C8C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BCBE25"/>
    <w:multiLevelType w:val="hybridMultilevel"/>
    <w:tmpl w:val="9A308F74"/>
    <w:lvl w:ilvl="0" w:tplc="C4A0C272">
      <w:start w:val="1"/>
      <w:numFmt w:val="bullet"/>
      <w:lvlText w:val=""/>
      <w:lvlJc w:val="left"/>
      <w:pPr>
        <w:ind w:left="1080" w:hanging="360"/>
      </w:pPr>
      <w:rPr>
        <w:rFonts w:ascii="Symbol" w:hAnsi="Symbol" w:hint="default"/>
      </w:rPr>
    </w:lvl>
    <w:lvl w:ilvl="1" w:tplc="469A0158">
      <w:start w:val="1"/>
      <w:numFmt w:val="bullet"/>
      <w:lvlText w:val="o"/>
      <w:lvlJc w:val="left"/>
      <w:pPr>
        <w:ind w:left="1800" w:hanging="360"/>
      </w:pPr>
      <w:rPr>
        <w:rFonts w:ascii="Courier New" w:hAnsi="Courier New" w:hint="default"/>
      </w:rPr>
    </w:lvl>
    <w:lvl w:ilvl="2" w:tplc="FA2C19B2">
      <w:start w:val="1"/>
      <w:numFmt w:val="bullet"/>
      <w:lvlText w:val=""/>
      <w:lvlJc w:val="left"/>
      <w:pPr>
        <w:ind w:left="2520" w:hanging="360"/>
      </w:pPr>
      <w:rPr>
        <w:rFonts w:ascii="Wingdings" w:hAnsi="Wingdings" w:hint="default"/>
      </w:rPr>
    </w:lvl>
    <w:lvl w:ilvl="3" w:tplc="22825FFC">
      <w:start w:val="1"/>
      <w:numFmt w:val="bullet"/>
      <w:lvlText w:val=""/>
      <w:lvlJc w:val="left"/>
      <w:pPr>
        <w:ind w:left="3240" w:hanging="360"/>
      </w:pPr>
      <w:rPr>
        <w:rFonts w:ascii="Symbol" w:hAnsi="Symbol" w:hint="default"/>
      </w:rPr>
    </w:lvl>
    <w:lvl w:ilvl="4" w:tplc="DF741848">
      <w:start w:val="1"/>
      <w:numFmt w:val="bullet"/>
      <w:lvlText w:val="o"/>
      <w:lvlJc w:val="left"/>
      <w:pPr>
        <w:ind w:left="3960" w:hanging="360"/>
      </w:pPr>
      <w:rPr>
        <w:rFonts w:ascii="Courier New" w:hAnsi="Courier New" w:hint="default"/>
      </w:rPr>
    </w:lvl>
    <w:lvl w:ilvl="5" w:tplc="D5F6D57A">
      <w:start w:val="1"/>
      <w:numFmt w:val="bullet"/>
      <w:lvlText w:val=""/>
      <w:lvlJc w:val="left"/>
      <w:pPr>
        <w:ind w:left="4680" w:hanging="360"/>
      </w:pPr>
      <w:rPr>
        <w:rFonts w:ascii="Wingdings" w:hAnsi="Wingdings" w:hint="default"/>
      </w:rPr>
    </w:lvl>
    <w:lvl w:ilvl="6" w:tplc="3B349592">
      <w:start w:val="1"/>
      <w:numFmt w:val="bullet"/>
      <w:lvlText w:val=""/>
      <w:lvlJc w:val="left"/>
      <w:pPr>
        <w:ind w:left="5400" w:hanging="360"/>
      </w:pPr>
      <w:rPr>
        <w:rFonts w:ascii="Symbol" w:hAnsi="Symbol" w:hint="default"/>
      </w:rPr>
    </w:lvl>
    <w:lvl w:ilvl="7" w:tplc="99E8028A">
      <w:start w:val="1"/>
      <w:numFmt w:val="bullet"/>
      <w:lvlText w:val="o"/>
      <w:lvlJc w:val="left"/>
      <w:pPr>
        <w:ind w:left="6120" w:hanging="360"/>
      </w:pPr>
      <w:rPr>
        <w:rFonts w:ascii="Courier New" w:hAnsi="Courier New" w:hint="default"/>
      </w:rPr>
    </w:lvl>
    <w:lvl w:ilvl="8" w:tplc="AB0A23A8">
      <w:start w:val="1"/>
      <w:numFmt w:val="bullet"/>
      <w:lvlText w:val=""/>
      <w:lvlJc w:val="left"/>
      <w:pPr>
        <w:ind w:left="6840" w:hanging="360"/>
      </w:pPr>
      <w:rPr>
        <w:rFonts w:ascii="Wingdings" w:hAnsi="Wingdings" w:hint="default"/>
      </w:rPr>
    </w:lvl>
  </w:abstractNum>
  <w:abstractNum w:abstractNumId="33" w15:restartNumberingAfterBreak="0">
    <w:nsid w:val="6FE157F8"/>
    <w:multiLevelType w:val="hybridMultilevel"/>
    <w:tmpl w:val="1AC6A5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EC066B"/>
    <w:multiLevelType w:val="hybridMultilevel"/>
    <w:tmpl w:val="8AA2F0EC"/>
    <w:lvl w:ilvl="0" w:tplc="FFFFFFFF">
      <w:start w:val="1"/>
      <w:numFmt w:val="lowerRoman"/>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5" w15:restartNumberingAfterBreak="0">
    <w:nsid w:val="74EEFF8E"/>
    <w:multiLevelType w:val="multilevel"/>
    <w:tmpl w:val="07C68B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C706F0"/>
    <w:multiLevelType w:val="hybridMultilevel"/>
    <w:tmpl w:val="B2B205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6E205C9"/>
    <w:multiLevelType w:val="hybridMultilevel"/>
    <w:tmpl w:val="19CA9F22"/>
    <w:lvl w:ilvl="0" w:tplc="0C090017">
      <w:start w:val="1"/>
      <w:numFmt w:val="lowerLetter"/>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8" w15:restartNumberingAfterBreak="0">
    <w:nsid w:val="780F35FB"/>
    <w:multiLevelType w:val="hybridMultilevel"/>
    <w:tmpl w:val="197C2672"/>
    <w:lvl w:ilvl="0" w:tplc="FED6EECE">
      <w:start w:val="1"/>
      <w:numFmt w:val="decimal"/>
      <w:lvlText w:val="%1."/>
      <w:lvlJc w:val="left"/>
      <w:pPr>
        <w:ind w:left="720" w:hanging="360"/>
      </w:pPr>
      <w:rPr>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9379BE"/>
    <w:multiLevelType w:val="hybridMultilevel"/>
    <w:tmpl w:val="4B86CE4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1803618698">
    <w:abstractNumId w:val="16"/>
  </w:num>
  <w:num w:numId="2" w16cid:durableId="1487235216">
    <w:abstractNumId w:val="35"/>
  </w:num>
  <w:num w:numId="3" w16cid:durableId="1776974077">
    <w:abstractNumId w:val="8"/>
  </w:num>
  <w:num w:numId="4" w16cid:durableId="350837951">
    <w:abstractNumId w:val="6"/>
  </w:num>
  <w:num w:numId="5" w16cid:durableId="1774473041">
    <w:abstractNumId w:val="1"/>
  </w:num>
  <w:num w:numId="6" w16cid:durableId="1063720587">
    <w:abstractNumId w:val="32"/>
  </w:num>
  <w:num w:numId="7" w16cid:durableId="1981839270">
    <w:abstractNumId w:val="29"/>
  </w:num>
  <w:num w:numId="8" w16cid:durableId="143863614">
    <w:abstractNumId w:val="0"/>
  </w:num>
  <w:num w:numId="9" w16cid:durableId="34163454">
    <w:abstractNumId w:val="11"/>
  </w:num>
  <w:num w:numId="10" w16cid:durableId="684554260">
    <w:abstractNumId w:val="22"/>
  </w:num>
  <w:num w:numId="11" w16cid:durableId="965546449">
    <w:abstractNumId w:val="39"/>
  </w:num>
  <w:num w:numId="12" w16cid:durableId="1561135007">
    <w:abstractNumId w:val="25"/>
  </w:num>
  <w:num w:numId="13" w16cid:durableId="1943150598">
    <w:abstractNumId w:val="14"/>
  </w:num>
  <w:num w:numId="14" w16cid:durableId="593055993">
    <w:abstractNumId w:val="27"/>
  </w:num>
  <w:num w:numId="15" w16cid:durableId="777022536">
    <w:abstractNumId w:val="13"/>
  </w:num>
  <w:num w:numId="16" w16cid:durableId="1602183712">
    <w:abstractNumId w:val="34"/>
  </w:num>
  <w:num w:numId="17" w16cid:durableId="937181211">
    <w:abstractNumId w:val="10"/>
  </w:num>
  <w:num w:numId="18" w16cid:durableId="1280600847">
    <w:abstractNumId w:val="7"/>
  </w:num>
  <w:num w:numId="19" w16cid:durableId="93717479">
    <w:abstractNumId w:val="30"/>
  </w:num>
  <w:num w:numId="20" w16cid:durableId="1563714131">
    <w:abstractNumId w:val="26"/>
  </w:num>
  <w:num w:numId="21" w16cid:durableId="1842118541">
    <w:abstractNumId w:val="20"/>
  </w:num>
  <w:num w:numId="22" w16cid:durableId="1830780034">
    <w:abstractNumId w:val="9"/>
  </w:num>
  <w:num w:numId="23" w16cid:durableId="1547796259">
    <w:abstractNumId w:val="18"/>
  </w:num>
  <w:num w:numId="24" w16cid:durableId="1298145811">
    <w:abstractNumId w:val="31"/>
  </w:num>
  <w:num w:numId="25" w16cid:durableId="1929148221">
    <w:abstractNumId w:val="5"/>
  </w:num>
  <w:num w:numId="26" w16cid:durableId="870385102">
    <w:abstractNumId w:val="33"/>
  </w:num>
  <w:num w:numId="27" w16cid:durableId="1798137102">
    <w:abstractNumId w:val="3"/>
  </w:num>
  <w:num w:numId="28" w16cid:durableId="933368058">
    <w:abstractNumId w:val="36"/>
  </w:num>
  <w:num w:numId="29" w16cid:durableId="151264596">
    <w:abstractNumId w:val="21"/>
  </w:num>
  <w:num w:numId="30" w16cid:durableId="1198011009">
    <w:abstractNumId w:val="17"/>
  </w:num>
  <w:num w:numId="31" w16cid:durableId="557861999">
    <w:abstractNumId w:val="38"/>
  </w:num>
  <w:num w:numId="32" w16cid:durableId="188757350">
    <w:abstractNumId w:val="23"/>
  </w:num>
  <w:num w:numId="33" w16cid:durableId="1080099844">
    <w:abstractNumId w:val="15"/>
  </w:num>
  <w:num w:numId="34" w16cid:durableId="808980817">
    <w:abstractNumId w:val="37"/>
  </w:num>
  <w:num w:numId="35" w16cid:durableId="1828862321">
    <w:abstractNumId w:val="28"/>
  </w:num>
  <w:num w:numId="36" w16cid:durableId="909077109">
    <w:abstractNumId w:val="19"/>
  </w:num>
  <w:num w:numId="37" w16cid:durableId="241911292">
    <w:abstractNumId w:val="12"/>
  </w:num>
  <w:num w:numId="38" w16cid:durableId="475412376">
    <w:abstractNumId w:val="4"/>
  </w:num>
  <w:num w:numId="39" w16cid:durableId="251546067">
    <w:abstractNumId w:val="24"/>
  </w:num>
  <w:num w:numId="40" w16cid:durableId="17075593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181CAF"/>
    <w:rsid w:val="00000C7D"/>
    <w:rsid w:val="00011E87"/>
    <w:rsid w:val="000155AD"/>
    <w:rsid w:val="00016717"/>
    <w:rsid w:val="00016C15"/>
    <w:rsid w:val="00024591"/>
    <w:rsid w:val="00030FC7"/>
    <w:rsid w:val="000379F9"/>
    <w:rsid w:val="0004421A"/>
    <w:rsid w:val="000539CD"/>
    <w:rsid w:val="00061015"/>
    <w:rsid w:val="00073F34"/>
    <w:rsid w:val="0007427C"/>
    <w:rsid w:val="000772B3"/>
    <w:rsid w:val="000822FF"/>
    <w:rsid w:val="00082588"/>
    <w:rsid w:val="000914E9"/>
    <w:rsid w:val="00092328"/>
    <w:rsid w:val="000B1513"/>
    <w:rsid w:val="000B38A9"/>
    <w:rsid w:val="000B4E8C"/>
    <w:rsid w:val="000D7E23"/>
    <w:rsid w:val="00112379"/>
    <w:rsid w:val="00117092"/>
    <w:rsid w:val="00123BB0"/>
    <w:rsid w:val="00140179"/>
    <w:rsid w:val="001548BD"/>
    <w:rsid w:val="00162716"/>
    <w:rsid w:val="0017491B"/>
    <w:rsid w:val="00175EB4"/>
    <w:rsid w:val="0019726F"/>
    <w:rsid w:val="001B07EC"/>
    <w:rsid w:val="001B5FEC"/>
    <w:rsid w:val="001B6CD7"/>
    <w:rsid w:val="001D59D0"/>
    <w:rsid w:val="001E3322"/>
    <w:rsid w:val="001F142E"/>
    <w:rsid w:val="002010E6"/>
    <w:rsid w:val="00222291"/>
    <w:rsid w:val="00234E4F"/>
    <w:rsid w:val="002453CE"/>
    <w:rsid w:val="00253F23"/>
    <w:rsid w:val="00260D53"/>
    <w:rsid w:val="002704A9"/>
    <w:rsid w:val="00283287"/>
    <w:rsid w:val="00285BF5"/>
    <w:rsid w:val="00286A2A"/>
    <w:rsid w:val="002A1B50"/>
    <w:rsid w:val="002A4E93"/>
    <w:rsid w:val="002A7EF5"/>
    <w:rsid w:val="002B25BB"/>
    <w:rsid w:val="002D21AA"/>
    <w:rsid w:val="002D252D"/>
    <w:rsid w:val="002F2988"/>
    <w:rsid w:val="00300B07"/>
    <w:rsid w:val="00311151"/>
    <w:rsid w:val="003135C8"/>
    <w:rsid w:val="00333A06"/>
    <w:rsid w:val="00335257"/>
    <w:rsid w:val="0034303E"/>
    <w:rsid w:val="003451B3"/>
    <w:rsid w:val="003628B2"/>
    <w:rsid w:val="003700D6"/>
    <w:rsid w:val="00372075"/>
    <w:rsid w:val="00375AEC"/>
    <w:rsid w:val="00391FC1"/>
    <w:rsid w:val="003A28DB"/>
    <w:rsid w:val="003A6E43"/>
    <w:rsid w:val="003B4AF5"/>
    <w:rsid w:val="003B7F34"/>
    <w:rsid w:val="003D48D6"/>
    <w:rsid w:val="003E4B3F"/>
    <w:rsid w:val="003E4CF1"/>
    <w:rsid w:val="003F385D"/>
    <w:rsid w:val="0041365E"/>
    <w:rsid w:val="00424E30"/>
    <w:rsid w:val="00434E08"/>
    <w:rsid w:val="0043503C"/>
    <w:rsid w:val="0043525C"/>
    <w:rsid w:val="00441343"/>
    <w:rsid w:val="00487C3D"/>
    <w:rsid w:val="004A379C"/>
    <w:rsid w:val="004A4D9D"/>
    <w:rsid w:val="004B07EC"/>
    <w:rsid w:val="004C6A1C"/>
    <w:rsid w:val="004D14A0"/>
    <w:rsid w:val="004E3A17"/>
    <w:rsid w:val="004E4A2D"/>
    <w:rsid w:val="004E6CF9"/>
    <w:rsid w:val="004E6FF7"/>
    <w:rsid w:val="004F7283"/>
    <w:rsid w:val="0050765B"/>
    <w:rsid w:val="00511DEA"/>
    <w:rsid w:val="00511F60"/>
    <w:rsid w:val="00515F9D"/>
    <w:rsid w:val="00516883"/>
    <w:rsid w:val="0052023D"/>
    <w:rsid w:val="00520BF3"/>
    <w:rsid w:val="0052468D"/>
    <w:rsid w:val="00532D29"/>
    <w:rsid w:val="005707A1"/>
    <w:rsid w:val="00575147"/>
    <w:rsid w:val="00576BF3"/>
    <w:rsid w:val="00576C9F"/>
    <w:rsid w:val="005915A1"/>
    <w:rsid w:val="005A4589"/>
    <w:rsid w:val="005C0281"/>
    <w:rsid w:val="005C2268"/>
    <w:rsid w:val="005C409B"/>
    <w:rsid w:val="005D4F7B"/>
    <w:rsid w:val="005E112C"/>
    <w:rsid w:val="005E20CE"/>
    <w:rsid w:val="005E3CE9"/>
    <w:rsid w:val="005E6215"/>
    <w:rsid w:val="005F04FD"/>
    <w:rsid w:val="005F256B"/>
    <w:rsid w:val="00604622"/>
    <w:rsid w:val="00632F4D"/>
    <w:rsid w:val="006403FE"/>
    <w:rsid w:val="00665F3A"/>
    <w:rsid w:val="006707C5"/>
    <w:rsid w:val="00674591"/>
    <w:rsid w:val="0069187A"/>
    <w:rsid w:val="0069468D"/>
    <w:rsid w:val="006A0A24"/>
    <w:rsid w:val="006B73F7"/>
    <w:rsid w:val="006B7EBA"/>
    <w:rsid w:val="00701D05"/>
    <w:rsid w:val="0071057F"/>
    <w:rsid w:val="00713AB5"/>
    <w:rsid w:val="00720B7D"/>
    <w:rsid w:val="00725A20"/>
    <w:rsid w:val="00735A5F"/>
    <w:rsid w:val="00741FAD"/>
    <w:rsid w:val="00756A29"/>
    <w:rsid w:val="007672D1"/>
    <w:rsid w:val="007708E4"/>
    <w:rsid w:val="0077681C"/>
    <w:rsid w:val="007960BA"/>
    <w:rsid w:val="007A110E"/>
    <w:rsid w:val="007E011B"/>
    <w:rsid w:val="007F0514"/>
    <w:rsid w:val="007F7645"/>
    <w:rsid w:val="00805BF2"/>
    <w:rsid w:val="008275CB"/>
    <w:rsid w:val="00857879"/>
    <w:rsid w:val="0087478B"/>
    <w:rsid w:val="0088654C"/>
    <w:rsid w:val="008877F9"/>
    <w:rsid w:val="00892578"/>
    <w:rsid w:val="008B389F"/>
    <w:rsid w:val="008C3C76"/>
    <w:rsid w:val="008D0ACE"/>
    <w:rsid w:val="008D4B08"/>
    <w:rsid w:val="009042E1"/>
    <w:rsid w:val="00917E7A"/>
    <w:rsid w:val="00920B87"/>
    <w:rsid w:val="00945CE0"/>
    <w:rsid w:val="00952088"/>
    <w:rsid w:val="00961D75"/>
    <w:rsid w:val="0096331F"/>
    <w:rsid w:val="009665B8"/>
    <w:rsid w:val="00967AF8"/>
    <w:rsid w:val="00973990"/>
    <w:rsid w:val="009815FA"/>
    <w:rsid w:val="0098236F"/>
    <w:rsid w:val="009876F6"/>
    <w:rsid w:val="009A48D4"/>
    <w:rsid w:val="009C0A6B"/>
    <w:rsid w:val="009C44F9"/>
    <w:rsid w:val="009C5ABA"/>
    <w:rsid w:val="009D3D5C"/>
    <w:rsid w:val="009F3607"/>
    <w:rsid w:val="00A07BF1"/>
    <w:rsid w:val="00A11B23"/>
    <w:rsid w:val="00A268DD"/>
    <w:rsid w:val="00A31315"/>
    <w:rsid w:val="00A325A4"/>
    <w:rsid w:val="00A3739E"/>
    <w:rsid w:val="00A4126B"/>
    <w:rsid w:val="00A763DA"/>
    <w:rsid w:val="00A870D5"/>
    <w:rsid w:val="00A910DF"/>
    <w:rsid w:val="00A9237C"/>
    <w:rsid w:val="00AA3CC7"/>
    <w:rsid w:val="00AD22FF"/>
    <w:rsid w:val="00AE027B"/>
    <w:rsid w:val="00AF0484"/>
    <w:rsid w:val="00AF1B1B"/>
    <w:rsid w:val="00AF384D"/>
    <w:rsid w:val="00AF4BE8"/>
    <w:rsid w:val="00B13105"/>
    <w:rsid w:val="00B21A73"/>
    <w:rsid w:val="00B26E2B"/>
    <w:rsid w:val="00B32B55"/>
    <w:rsid w:val="00B360B4"/>
    <w:rsid w:val="00B37F26"/>
    <w:rsid w:val="00B51D76"/>
    <w:rsid w:val="00B63029"/>
    <w:rsid w:val="00B6432C"/>
    <w:rsid w:val="00B65F90"/>
    <w:rsid w:val="00B73911"/>
    <w:rsid w:val="00B81324"/>
    <w:rsid w:val="00BA06CF"/>
    <w:rsid w:val="00BC2E27"/>
    <w:rsid w:val="00BD12A6"/>
    <w:rsid w:val="00BD5F84"/>
    <w:rsid w:val="00BD6253"/>
    <w:rsid w:val="00BE53E1"/>
    <w:rsid w:val="00C267F3"/>
    <w:rsid w:val="00C64BDB"/>
    <w:rsid w:val="00C66D53"/>
    <w:rsid w:val="00C705F3"/>
    <w:rsid w:val="00C71EBE"/>
    <w:rsid w:val="00C801B2"/>
    <w:rsid w:val="00C92B49"/>
    <w:rsid w:val="00CA4651"/>
    <w:rsid w:val="00CB2E2C"/>
    <w:rsid w:val="00CD19A7"/>
    <w:rsid w:val="00D02E71"/>
    <w:rsid w:val="00D043AF"/>
    <w:rsid w:val="00D05BF2"/>
    <w:rsid w:val="00D274B8"/>
    <w:rsid w:val="00D46751"/>
    <w:rsid w:val="00D64682"/>
    <w:rsid w:val="00D70D15"/>
    <w:rsid w:val="00D72C1A"/>
    <w:rsid w:val="00D75C63"/>
    <w:rsid w:val="00D7759C"/>
    <w:rsid w:val="00D90D16"/>
    <w:rsid w:val="00D954C5"/>
    <w:rsid w:val="00D95AAD"/>
    <w:rsid w:val="00D96A95"/>
    <w:rsid w:val="00DA2F69"/>
    <w:rsid w:val="00DB1F2B"/>
    <w:rsid w:val="00DB3E5C"/>
    <w:rsid w:val="00DB750C"/>
    <w:rsid w:val="00DC2D68"/>
    <w:rsid w:val="00DC7096"/>
    <w:rsid w:val="00DD00AE"/>
    <w:rsid w:val="00DD4576"/>
    <w:rsid w:val="00DD4B25"/>
    <w:rsid w:val="00DE1645"/>
    <w:rsid w:val="00DF6542"/>
    <w:rsid w:val="00E00232"/>
    <w:rsid w:val="00E36E70"/>
    <w:rsid w:val="00E52413"/>
    <w:rsid w:val="00E567C9"/>
    <w:rsid w:val="00E62613"/>
    <w:rsid w:val="00E74E7B"/>
    <w:rsid w:val="00E80DB0"/>
    <w:rsid w:val="00E823DF"/>
    <w:rsid w:val="00E87280"/>
    <w:rsid w:val="00E94F1F"/>
    <w:rsid w:val="00E96B02"/>
    <w:rsid w:val="00E973C4"/>
    <w:rsid w:val="00E97AD2"/>
    <w:rsid w:val="00EA299B"/>
    <w:rsid w:val="00EB1EAF"/>
    <w:rsid w:val="00EB33A8"/>
    <w:rsid w:val="00EC3350"/>
    <w:rsid w:val="00ED6A36"/>
    <w:rsid w:val="00F2170C"/>
    <w:rsid w:val="00F22585"/>
    <w:rsid w:val="00F30920"/>
    <w:rsid w:val="00F442E8"/>
    <w:rsid w:val="00F66791"/>
    <w:rsid w:val="00F66FE0"/>
    <w:rsid w:val="00F819C3"/>
    <w:rsid w:val="00F876DA"/>
    <w:rsid w:val="00F95A36"/>
    <w:rsid w:val="00F9771D"/>
    <w:rsid w:val="00FA301B"/>
    <w:rsid w:val="00FC1DE2"/>
    <w:rsid w:val="00FC3641"/>
    <w:rsid w:val="00FD452D"/>
    <w:rsid w:val="00FD47DA"/>
    <w:rsid w:val="00FE319C"/>
    <w:rsid w:val="10778038"/>
    <w:rsid w:val="1B3AEED6"/>
    <w:rsid w:val="1BA9B780"/>
    <w:rsid w:val="1D9A804B"/>
    <w:rsid w:val="29C4A72B"/>
    <w:rsid w:val="2E529752"/>
    <w:rsid w:val="2F99DA51"/>
    <w:rsid w:val="302D4A6C"/>
    <w:rsid w:val="318BAAA2"/>
    <w:rsid w:val="33FD3ECF"/>
    <w:rsid w:val="35623D57"/>
    <w:rsid w:val="36BBA89A"/>
    <w:rsid w:val="3A87EEC9"/>
    <w:rsid w:val="3E4BBF9A"/>
    <w:rsid w:val="40A5BB67"/>
    <w:rsid w:val="436765CD"/>
    <w:rsid w:val="488041DA"/>
    <w:rsid w:val="4E95BC4B"/>
    <w:rsid w:val="537F6073"/>
    <w:rsid w:val="55368322"/>
    <w:rsid w:val="5FBC1E8D"/>
    <w:rsid w:val="6114AF83"/>
    <w:rsid w:val="622A9BFE"/>
    <w:rsid w:val="64181CAF"/>
    <w:rsid w:val="64334620"/>
    <w:rsid w:val="6850962C"/>
    <w:rsid w:val="6D2FE095"/>
    <w:rsid w:val="77609205"/>
    <w:rsid w:val="78166AB5"/>
    <w:rsid w:val="78FC2ACC"/>
    <w:rsid w:val="7D066A45"/>
    <w:rsid w:val="7ECC4887"/>
    <w:rsid w:val="7F7956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056F68"/>
  <w15:chartTrackingRefBased/>
  <w15:docId w15:val="{F7BACE0E-3C4B-44ED-B9DA-C270205EE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EBA"/>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B7EBA"/>
    <w:rPr>
      <w:color w:val="004E7D"/>
      <w:u w:val="single"/>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BC2E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6A29"/>
  </w:style>
  <w:style w:type="paragraph" w:styleId="Footer">
    <w:name w:val="footer"/>
    <w:basedOn w:val="Normal"/>
    <w:link w:val="FooterChar"/>
    <w:uiPriority w:val="99"/>
    <w:unhideWhenUsed/>
    <w:rsid w:val="00BC2E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A29"/>
  </w:style>
  <w:style w:type="paragraph" w:styleId="Revision">
    <w:name w:val="Revision"/>
    <w:hidden/>
    <w:uiPriority w:val="99"/>
    <w:semiHidden/>
    <w:rsid w:val="00756A29"/>
    <w:pPr>
      <w:spacing w:after="0" w:line="240" w:lineRule="auto"/>
    </w:pPr>
  </w:style>
  <w:style w:type="character" w:styleId="CommentReference">
    <w:name w:val="annotation reference"/>
    <w:basedOn w:val="DefaultParagraphFont"/>
    <w:uiPriority w:val="99"/>
    <w:semiHidden/>
    <w:unhideWhenUsed/>
    <w:rsid w:val="00311151"/>
    <w:rPr>
      <w:sz w:val="16"/>
      <w:szCs w:val="16"/>
    </w:rPr>
  </w:style>
  <w:style w:type="paragraph" w:styleId="CommentText">
    <w:name w:val="annotation text"/>
    <w:basedOn w:val="Normal"/>
    <w:link w:val="CommentTextChar"/>
    <w:uiPriority w:val="99"/>
    <w:unhideWhenUsed/>
    <w:rsid w:val="00311151"/>
    <w:pPr>
      <w:spacing w:line="240" w:lineRule="auto"/>
    </w:pPr>
    <w:rPr>
      <w:sz w:val="20"/>
      <w:szCs w:val="20"/>
    </w:rPr>
  </w:style>
  <w:style w:type="character" w:customStyle="1" w:styleId="CommentTextChar">
    <w:name w:val="Comment Text Char"/>
    <w:basedOn w:val="DefaultParagraphFont"/>
    <w:link w:val="CommentText"/>
    <w:uiPriority w:val="99"/>
    <w:rsid w:val="00311151"/>
    <w:rPr>
      <w:sz w:val="20"/>
      <w:szCs w:val="20"/>
    </w:rPr>
  </w:style>
  <w:style w:type="paragraph" w:styleId="CommentSubject">
    <w:name w:val="annotation subject"/>
    <w:basedOn w:val="CommentText"/>
    <w:next w:val="CommentText"/>
    <w:link w:val="CommentSubjectChar"/>
    <w:uiPriority w:val="99"/>
    <w:semiHidden/>
    <w:unhideWhenUsed/>
    <w:rsid w:val="00311151"/>
    <w:rPr>
      <w:b/>
      <w:bCs/>
    </w:rPr>
  </w:style>
  <w:style w:type="character" w:customStyle="1" w:styleId="CommentSubjectChar">
    <w:name w:val="Comment Subject Char"/>
    <w:basedOn w:val="CommentTextChar"/>
    <w:link w:val="CommentSubject"/>
    <w:uiPriority w:val="99"/>
    <w:semiHidden/>
    <w:rsid w:val="00311151"/>
    <w:rPr>
      <w:b/>
      <w:bCs/>
      <w:sz w:val="20"/>
      <w:szCs w:val="20"/>
    </w:rPr>
  </w:style>
  <w:style w:type="paragraph" w:styleId="TOC2">
    <w:name w:val="toc 2"/>
    <w:basedOn w:val="Normal"/>
    <w:next w:val="Normal"/>
    <w:autoRedefine/>
    <w:uiPriority w:val="39"/>
    <w:unhideWhenUsed/>
    <w:rsid w:val="001D59D0"/>
    <w:pPr>
      <w:tabs>
        <w:tab w:val="left" w:pos="1420"/>
      </w:tabs>
      <w:spacing w:after="100"/>
      <w:ind w:left="220"/>
    </w:pPr>
  </w:style>
  <w:style w:type="paragraph" w:styleId="TOC3">
    <w:name w:val="toc 3"/>
    <w:basedOn w:val="Normal"/>
    <w:next w:val="Normal"/>
    <w:autoRedefine/>
    <w:uiPriority w:val="39"/>
    <w:unhideWhenUsed/>
    <w:rsid w:val="00335257"/>
    <w:pPr>
      <w:tabs>
        <w:tab w:val="right" w:leader="dot" w:pos="9350"/>
      </w:tabs>
      <w:spacing w:after="100"/>
      <w:ind w:left="440"/>
    </w:pPr>
  </w:style>
  <w:style w:type="paragraph" w:styleId="Title">
    <w:name w:val="Title"/>
    <w:basedOn w:val="Normal"/>
    <w:next w:val="Normal"/>
    <w:link w:val="TitleChar"/>
    <w:uiPriority w:val="22"/>
    <w:qFormat/>
    <w:rsid w:val="00D95AAD"/>
    <w:pPr>
      <w:keepLines/>
      <w:spacing w:after="360" w:line="640" w:lineRule="exact"/>
      <w:contextualSpacing/>
      <w:outlineLvl w:val="0"/>
    </w:pPr>
    <w:rPr>
      <w:rFonts w:asciiTheme="majorHAnsi" w:eastAsiaTheme="majorEastAsia" w:hAnsiTheme="majorHAnsi" w:cstheme="majorBidi"/>
      <w:color w:val="00A398"/>
      <w:kern w:val="28"/>
      <w:sz w:val="60"/>
      <w:szCs w:val="56"/>
      <w:lang w:val="en-AU"/>
    </w:rPr>
  </w:style>
  <w:style w:type="character" w:customStyle="1" w:styleId="TitleChar">
    <w:name w:val="Title Char"/>
    <w:basedOn w:val="DefaultParagraphFont"/>
    <w:link w:val="Title"/>
    <w:uiPriority w:val="22"/>
    <w:rsid w:val="00D95AAD"/>
    <w:rPr>
      <w:rFonts w:asciiTheme="majorHAnsi" w:eastAsiaTheme="majorEastAsia" w:hAnsiTheme="majorHAnsi" w:cstheme="majorBidi"/>
      <w:color w:val="00A398"/>
      <w:kern w:val="28"/>
      <w:sz w:val="60"/>
      <w:szCs w:val="56"/>
      <w:lang w:val="en-AU"/>
    </w:rPr>
  </w:style>
  <w:style w:type="character" w:styleId="FollowedHyperlink">
    <w:name w:val="FollowedHyperlink"/>
    <w:basedOn w:val="DefaultParagraphFont"/>
    <w:uiPriority w:val="99"/>
    <w:semiHidden/>
    <w:unhideWhenUsed/>
    <w:rsid w:val="00EB33A8"/>
    <w:rPr>
      <w:color w:val="954F72" w:themeColor="followedHyperlink"/>
      <w:u w:val="single"/>
    </w:rPr>
  </w:style>
  <w:style w:type="character" w:styleId="UnresolvedMention">
    <w:name w:val="Unresolved Mention"/>
    <w:basedOn w:val="DefaultParagraphFont"/>
    <w:uiPriority w:val="99"/>
    <w:semiHidden/>
    <w:unhideWhenUsed/>
    <w:rsid w:val="00B63029"/>
    <w:rPr>
      <w:color w:val="605E5C"/>
      <w:shd w:val="clear" w:color="auto" w:fill="E1DFDD"/>
    </w:rPr>
  </w:style>
  <w:style w:type="paragraph" w:styleId="TOC1">
    <w:name w:val="toc 1"/>
    <w:basedOn w:val="Normal"/>
    <w:next w:val="Normal"/>
    <w:autoRedefine/>
    <w:uiPriority w:val="39"/>
    <w:unhideWhenUsed/>
    <w:rsid w:val="00DD4B25"/>
    <w:pPr>
      <w:tabs>
        <w:tab w:val="right" w:pos="9350"/>
      </w:tabs>
      <w:spacing w:after="100"/>
    </w:pPr>
  </w:style>
  <w:style w:type="paragraph" w:customStyle="1" w:styleId="TableNormal1">
    <w:name w:val="Table Normal1"/>
    <w:basedOn w:val="Normal"/>
    <w:rsid w:val="00D70D15"/>
    <w:pPr>
      <w:keepNext/>
      <w:keepLines/>
      <w:spacing w:before="60" w:after="60" w:line="240" w:lineRule="auto"/>
    </w:pPr>
    <w:rPr>
      <w:rFonts w:ascii="Arial" w:eastAsia="Times New Roman" w:hAnsi="Arial" w:cs="Times New Roman"/>
      <w:sz w:val="18"/>
      <w:lang w:val="en-AU"/>
    </w:rPr>
  </w:style>
  <w:style w:type="paragraph" w:customStyle="1" w:styleId="TableHeadingCentre">
    <w:name w:val="Table Heading Centre"/>
    <w:basedOn w:val="Normal"/>
    <w:rsid w:val="00D70D15"/>
    <w:pPr>
      <w:keepNext/>
      <w:keepLines/>
      <w:spacing w:before="60" w:after="60" w:line="240" w:lineRule="auto"/>
      <w:jc w:val="center"/>
    </w:pPr>
    <w:rPr>
      <w:rFonts w:ascii="Arial" w:eastAsia="Times New Roman" w:hAnsi="Arial" w:cs="Times New Roman"/>
      <w:b/>
      <w:sz w:val="18"/>
      <w:lang w:val="en-AU"/>
    </w:rPr>
  </w:style>
  <w:style w:type="table" w:styleId="TableGridLight">
    <w:name w:val="Grid Table Light"/>
    <w:basedOn w:val="TableNormal"/>
    <w:uiPriority w:val="40"/>
    <w:rsid w:val="00D70D15"/>
    <w:pPr>
      <w:spacing w:before="120" w:after="0" w:line="240" w:lineRule="auto"/>
    </w:pPr>
    <w:rPr>
      <w:color w:val="000000" w:themeColor="text1"/>
      <w:lang w:val="en-AU"/>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874936">
      <w:bodyDiv w:val="1"/>
      <w:marLeft w:val="0"/>
      <w:marRight w:val="0"/>
      <w:marTop w:val="0"/>
      <w:marBottom w:val="0"/>
      <w:divBdr>
        <w:top w:val="none" w:sz="0" w:space="0" w:color="auto"/>
        <w:left w:val="none" w:sz="0" w:space="0" w:color="auto"/>
        <w:bottom w:val="none" w:sz="0" w:space="0" w:color="auto"/>
        <w:right w:val="none" w:sz="0" w:space="0" w:color="auto"/>
      </w:divBdr>
      <w:divsChild>
        <w:div w:id="259460549">
          <w:marLeft w:val="0"/>
          <w:marRight w:val="0"/>
          <w:marTop w:val="0"/>
          <w:marBottom w:val="0"/>
          <w:divBdr>
            <w:top w:val="none" w:sz="0" w:space="0" w:color="auto"/>
            <w:left w:val="none" w:sz="0" w:space="0" w:color="auto"/>
            <w:bottom w:val="none" w:sz="0" w:space="0" w:color="auto"/>
            <w:right w:val="none" w:sz="0" w:space="0" w:color="auto"/>
          </w:divBdr>
          <w:divsChild>
            <w:div w:id="1308852073">
              <w:marLeft w:val="0"/>
              <w:marRight w:val="0"/>
              <w:marTop w:val="0"/>
              <w:marBottom w:val="0"/>
              <w:divBdr>
                <w:top w:val="none" w:sz="0" w:space="0" w:color="auto"/>
                <w:left w:val="none" w:sz="0" w:space="0" w:color="auto"/>
                <w:bottom w:val="none" w:sz="0" w:space="0" w:color="auto"/>
                <w:right w:val="none" w:sz="0" w:space="0" w:color="auto"/>
              </w:divBdr>
            </w:div>
          </w:divsChild>
        </w:div>
        <w:div w:id="279728482">
          <w:marLeft w:val="0"/>
          <w:marRight w:val="0"/>
          <w:marTop w:val="0"/>
          <w:marBottom w:val="0"/>
          <w:divBdr>
            <w:top w:val="none" w:sz="0" w:space="0" w:color="auto"/>
            <w:left w:val="none" w:sz="0" w:space="0" w:color="auto"/>
            <w:bottom w:val="none" w:sz="0" w:space="0" w:color="auto"/>
            <w:right w:val="none" w:sz="0" w:space="0" w:color="auto"/>
          </w:divBdr>
          <w:divsChild>
            <w:div w:id="1424186588">
              <w:marLeft w:val="0"/>
              <w:marRight w:val="0"/>
              <w:marTop w:val="0"/>
              <w:marBottom w:val="0"/>
              <w:divBdr>
                <w:top w:val="none" w:sz="0" w:space="0" w:color="auto"/>
                <w:left w:val="none" w:sz="0" w:space="0" w:color="auto"/>
                <w:bottom w:val="none" w:sz="0" w:space="0" w:color="auto"/>
                <w:right w:val="none" w:sz="0" w:space="0" w:color="auto"/>
              </w:divBdr>
            </w:div>
          </w:divsChild>
        </w:div>
        <w:div w:id="1115514702">
          <w:marLeft w:val="0"/>
          <w:marRight w:val="0"/>
          <w:marTop w:val="0"/>
          <w:marBottom w:val="0"/>
          <w:divBdr>
            <w:top w:val="none" w:sz="0" w:space="0" w:color="auto"/>
            <w:left w:val="none" w:sz="0" w:space="0" w:color="auto"/>
            <w:bottom w:val="none" w:sz="0" w:space="0" w:color="auto"/>
            <w:right w:val="none" w:sz="0" w:space="0" w:color="auto"/>
          </w:divBdr>
          <w:divsChild>
            <w:div w:id="242879954">
              <w:marLeft w:val="0"/>
              <w:marRight w:val="0"/>
              <w:marTop w:val="0"/>
              <w:marBottom w:val="0"/>
              <w:divBdr>
                <w:top w:val="none" w:sz="0" w:space="0" w:color="auto"/>
                <w:left w:val="none" w:sz="0" w:space="0" w:color="auto"/>
                <w:bottom w:val="none" w:sz="0" w:space="0" w:color="auto"/>
                <w:right w:val="none" w:sz="0" w:space="0" w:color="auto"/>
              </w:divBdr>
            </w:div>
          </w:divsChild>
        </w:div>
        <w:div w:id="2084376502">
          <w:marLeft w:val="0"/>
          <w:marRight w:val="0"/>
          <w:marTop w:val="0"/>
          <w:marBottom w:val="0"/>
          <w:divBdr>
            <w:top w:val="none" w:sz="0" w:space="0" w:color="auto"/>
            <w:left w:val="none" w:sz="0" w:space="0" w:color="auto"/>
            <w:bottom w:val="none" w:sz="0" w:space="0" w:color="auto"/>
            <w:right w:val="none" w:sz="0" w:space="0" w:color="auto"/>
          </w:divBdr>
          <w:divsChild>
            <w:div w:id="122016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4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ombudsman.gov.au/industry-and-agency-oversight/public-interest-disclosure-whistleblowi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ombudsman.gov.au/__data/assets/pdf_file/0020/37415/Agency_Guide_to_the_PID_Act_Version_2.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legislation.gov.au/Details/F2023C00673"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view@teqsa.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195AAD052154C90877C2175A39053" ma:contentTypeVersion="19" ma:contentTypeDescription="Create a new document." ma:contentTypeScope="" ma:versionID="062a8913dd7dc6072d0638da4b75a816">
  <xsd:schema xmlns:xsd="http://www.w3.org/2001/XMLSchema" xmlns:xs="http://www.w3.org/2001/XMLSchema" xmlns:p="http://schemas.microsoft.com/office/2006/metadata/properties" xmlns:ns2="8ecec057-8c78-413a-8c7a-7980785425af" xmlns:ns3="16a3d3ce-1191-4b61-bdcc-3876b39e2fc2" targetNamespace="http://schemas.microsoft.com/office/2006/metadata/properties" ma:root="true" ma:fieldsID="27369dfd3a904bc65f15731e3cb46e9a" ns2:_="" ns3:_="">
    <xsd:import namespace="8ecec057-8c78-413a-8c7a-7980785425af"/>
    <xsd:import namespace="16a3d3ce-1191-4b61-bdcc-3876b39e2fc2"/>
    <xsd:element name="properties">
      <xsd:complexType>
        <xsd:sequence>
          <xsd:element name="documentManagement">
            <xsd:complexType>
              <xsd:all>
                <xsd:element ref="ns2:p2841a2f4f0e46edb9ade446fe7c03eb" minOccurs="0"/>
                <xsd:element ref="ns3:TaxCatchAll" minOccurs="0"/>
                <xsd:element ref="ns2:j5c7243103eb4a8f8bdb102a5810412a" minOccurs="0"/>
                <xsd:element ref="ns2:lf00f7cae6154b588c712167af0e92c2" minOccurs="0"/>
                <xsd:element ref="ns2:Status" minOccurs="0"/>
                <xsd:element ref="ns2:RelevantLegislationTitle" minOccurs="0"/>
                <xsd:element ref="ns2:Section" minOccurs="0"/>
                <xsd:element ref="ns2:DueDate" minOccurs="0"/>
                <xsd:element ref="ns2:AssignedTo" minOccurs="0"/>
                <xsd:element ref="ns2:DatePublished" minOccurs="0"/>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ec057-8c78-413a-8c7a-7980785425af" elementFormDefault="qualified">
    <xsd:import namespace="http://schemas.microsoft.com/office/2006/documentManagement/types"/>
    <xsd:import namespace="http://schemas.microsoft.com/office/infopath/2007/PartnerControls"/>
    <xsd:element name="p2841a2f4f0e46edb9ade446fe7c03eb" ma:index="9" ma:taxonomy="true" ma:internalName="p2841a2f4f0e46edb9ade446fe7c03eb" ma:taxonomyFieldName="Function_x0020_Name" ma:displayName="Function Name" ma:readOnly="false" ma:default="1;#Legal Services|fc20bdc8-151f-4b1d-aea5-c71094fe6d32" ma:fieldId="{92841a2f-4f0e-46ed-b9ad-e446fe7c03eb}" ma:sspId="645f8d4e-8f3a-4e65-808f-0c8f2d6bd45a" ma:termSetId="caff1483-53ad-486d-964e-a8d5fb9ee176" ma:anchorId="00000000-0000-0000-0000-000000000000" ma:open="false" ma:isKeyword="false">
      <xsd:complexType>
        <xsd:sequence>
          <xsd:element ref="pc:Terms" minOccurs="0" maxOccurs="1"/>
        </xsd:sequence>
      </xsd:complexType>
    </xsd:element>
    <xsd:element name="j5c7243103eb4a8f8bdb102a5810412a" ma:index="12" ma:taxonomy="true" ma:internalName="j5c7243103eb4a8f8bdb102a5810412a" ma:taxonomyFieldName="Activity_x0020_Name" ma:displayName="Activity Name" ma:readOnly="false" ma:default="1;#Policies|a2132d22-d4a5-4c09-b7dc-c7d9df5973de" ma:fieldId="{35c72431-03eb-4a8f-8bdb-102a5810412a}" ma:sspId="645f8d4e-8f3a-4e65-808f-0c8f2d6bd45a" ma:termSetId="6d61d290-63e6-4191-96d4-bb0f69ce25d9" ma:anchorId="00000000-0000-0000-0000-000000000000" ma:open="false" ma:isKeyword="false">
      <xsd:complexType>
        <xsd:sequence>
          <xsd:element ref="pc:Terms" minOccurs="0" maxOccurs="1"/>
        </xsd:sequence>
      </xsd:complexType>
    </xsd:element>
    <xsd:element name="lf00f7cae6154b588c712167af0e92c2" ma:index="14" ma:taxonomy="true" ma:internalName="lf00f7cae6154b588c712167af0e92c2" ma:taxonomyFieldName="RecordType" ma:displayName="Record Type" ma:readOnly="false" ma:default="" ma:fieldId="{5f00f7ca-e615-4b58-8c71-2167af0e92c2}" ma:sspId="645f8d4e-8f3a-4e65-808f-0c8f2d6bd45a" ma:termSetId="fd0a169c-3a83-48a6-911e-955acb039007" ma:anchorId="00000000-0000-0000-0000-000000000000" ma:open="false" ma:isKeyword="false">
      <xsd:complexType>
        <xsd:sequence>
          <xsd:element ref="pc:Terms" minOccurs="0" maxOccurs="1"/>
        </xsd:sequence>
      </xsd:complexType>
    </xsd:element>
    <xsd:element name="Status" ma:index="15" nillable="true" ma:displayName="Status" ma:format="Dropdown" ma:internalName="Status">
      <xsd:simpleType>
        <xsd:restriction base="dms:Choice">
          <xsd:enumeration value="Draft"/>
          <xsd:enumeration value="Approved"/>
          <xsd:enumeration value="Final"/>
          <xsd:enumeration value="In force"/>
          <xsd:enumeration value="Superseded"/>
          <xsd:enumeration value="Published"/>
        </xsd:restriction>
      </xsd:simpleType>
    </xsd:element>
    <xsd:element name="RelevantLegislationTitle" ma:index="16" nillable="true" ma:displayName="Relevant Legislation Title" ma:format="Dropdown" ma:internalName="RelevantLegislationTitle">
      <xsd:simpleType>
        <xsd:restriction base="dms:Text">
          <xsd:maxLength value="255"/>
        </xsd:restriction>
      </xsd:simpleType>
    </xsd:element>
    <xsd:element name="Section" ma:index="17" nillable="true" ma:displayName="Section" ma:format="Dropdown" ma:internalName="Section">
      <xsd:simpleType>
        <xsd:restriction base="dms:Text">
          <xsd:maxLength value="255"/>
        </xsd:restriction>
      </xsd:simpleType>
    </xsd:element>
    <xsd:element name="DueDate" ma:index="19" nillable="true" ma:displayName="Due Date" ma:format="DateOnly" ma:internalName="DueDate">
      <xsd:simpleType>
        <xsd:restriction base="dms:DateTime"/>
      </xsd:simpleType>
    </xsd:element>
    <xsd:element name="AssignedTo" ma:index="20" nillable="true" ma:displayName="Assigned To" ma:format="Dropdown" ma:list="UserInfo" ma:SharePointGroup="0"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Published" ma:index="21" nillable="true" ma:displayName="Date Published" ma:format="DateOnly" ma:internalName="DatePublished">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a3d3ce-1191-4b61-bdcc-3876b39e2fc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0d3d8dc-1b9b-4396-bb11-327ddcdd1b2e}" ma:internalName="TaxCatchAll" ma:showField="CatchAllData" ma:web="16a3d3ce-1191-4b61-bdcc-3876b39e2fc2">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tion xmlns="8ecec057-8c78-413a-8c7a-7980785425af" xsi:nil="true"/>
    <p2841a2f4f0e46edb9ade446fe7c03eb xmlns="8ecec057-8c78-413a-8c7a-7980785425af">
      <Terms xmlns="http://schemas.microsoft.com/office/infopath/2007/PartnerControls">
        <TermInfo xmlns="http://schemas.microsoft.com/office/infopath/2007/PartnerControls">
          <TermName xmlns="http://schemas.microsoft.com/office/infopath/2007/PartnerControls">Legal Services</TermName>
          <TermId xmlns="http://schemas.microsoft.com/office/infopath/2007/PartnerControls">fc20bdc8-151f-4b1d-aea5-c71094fe6d32</TermId>
        </TermInfo>
      </Terms>
    </p2841a2f4f0e46edb9ade446fe7c03eb>
    <lf00f7cae6154b588c712167af0e92c2 xmlns="8ecec057-8c78-413a-8c7a-7980785425af">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f90e447b-f780-432f-b51f-6acb9516abf7</TermId>
        </TermInfo>
      </Terms>
    </lf00f7cae6154b588c712167af0e92c2>
    <TaxCatchAll xmlns="16a3d3ce-1191-4b61-bdcc-3876b39e2fc2">
      <Value>4</Value>
      <Value>2</Value>
      <Value>1</Value>
    </TaxCatchAll>
    <Status xmlns="8ecec057-8c78-413a-8c7a-7980785425af" xsi:nil="true"/>
    <RelevantLegislationTitle xmlns="8ecec057-8c78-413a-8c7a-7980785425af" xsi:nil="true"/>
    <j5c7243103eb4a8f8bdb102a5810412a xmlns="8ecec057-8c78-413a-8c7a-7980785425af">
      <Terms xmlns="http://schemas.microsoft.com/office/infopath/2007/PartnerControls">
        <TermInfo xmlns="http://schemas.microsoft.com/office/infopath/2007/PartnerControls">
          <TermName xmlns="http://schemas.microsoft.com/office/infopath/2007/PartnerControls">Policies</TermName>
          <TermId xmlns="http://schemas.microsoft.com/office/infopath/2007/PartnerControls">a2132d22-d4a5-4c09-b7dc-c7d9df5973de</TermId>
        </TermInfo>
      </Terms>
    </j5c7243103eb4a8f8bdb102a5810412a>
    <DueDate xmlns="8ecec057-8c78-413a-8c7a-7980785425af" xsi:nil="true"/>
    <DatePublished xmlns="8ecec057-8c78-413a-8c7a-7980785425af" xsi:nil="true"/>
    <AssignedTo xmlns="8ecec057-8c78-413a-8c7a-7980785425af">
      <UserInfo>
        <DisplayName/>
        <AccountId xsi:nil="true"/>
        <AccountType/>
      </UserInfo>
    </AssignedTo>
    <SharedWithUsers xmlns="16a3d3ce-1191-4b61-bdcc-3876b39e2fc2">
      <UserInfo>
        <DisplayName>Tom Hewitt-McManus</DisplayName>
        <AccountId>126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6B5A5-60DA-43B0-A43F-2048694387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ec057-8c78-413a-8c7a-7980785425af"/>
    <ds:schemaRef ds:uri="16a3d3ce-1191-4b61-bdcc-3876b39e2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79F2D1-F248-4E99-B1A5-E056D88A3AD2}">
  <ds:schemaRefs>
    <ds:schemaRef ds:uri="http://purl.org/dc/elements/1.1/"/>
    <ds:schemaRef ds:uri="http://schemas.microsoft.com/office/2006/metadata/properties"/>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16a3d3ce-1191-4b61-bdcc-3876b39e2fc2"/>
    <ds:schemaRef ds:uri="8ecec057-8c78-413a-8c7a-7980785425af"/>
    <ds:schemaRef ds:uri="http://purl.org/dc/dcmitype/"/>
  </ds:schemaRefs>
</ds:datastoreItem>
</file>

<file path=customXml/itemProps3.xml><?xml version="1.0" encoding="utf-8"?>
<ds:datastoreItem xmlns:ds="http://schemas.openxmlformats.org/officeDocument/2006/customXml" ds:itemID="{0599B307-E0DE-4F9E-A2BD-89FC4552A0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4041</Words>
  <Characters>21251</Characters>
  <Application>Microsoft Office Word</Application>
  <DocSecurity>0</DocSecurity>
  <Lines>536</Lines>
  <Paragraphs>208</Paragraphs>
  <ScaleCrop>false</ScaleCrop>
  <HeadingPairs>
    <vt:vector size="2" baseType="variant">
      <vt:variant>
        <vt:lpstr>Title</vt:lpstr>
      </vt:variant>
      <vt:variant>
        <vt:i4>1</vt:i4>
      </vt:variant>
    </vt:vector>
  </HeadingPairs>
  <TitlesOfParts>
    <vt:vector size="1" baseType="lpstr">
      <vt:lpstr>TEQSA Public Interest Disclosure (PID) Procedures</vt:lpstr>
    </vt:vector>
  </TitlesOfParts>
  <Company/>
  <LinksUpToDate>false</LinksUpToDate>
  <CharactersWithSpaces>25143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TEQSA Public Interest Disclosure (PID) Procedures</dc:title>
  <dc:subject/>
  <dc:creator>Tim Conboy</dc:creator>
  <cp:keywords>[SEC=OFFICIAL]</cp:keywords>
  <dc:description/>
  <cp:lastModifiedBy>Tom Hewitt-McManus</cp:lastModifiedBy>
  <cp:revision>9</cp:revision>
  <dcterms:created xsi:type="dcterms:W3CDTF">2023-11-27T05:16:00Z</dcterms:created>
  <dcterms:modified xsi:type="dcterms:W3CDTF">2024-07-22T06:23:00Z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0x0101007D7195AAD052154C90877C2175A39053</vt:lpwstr>
  </property>
  <property fmtid="{D5CDD505-2E9C-101B-9397-08002B2CF9AE}" pid="3" name="Activity Name">
    <vt:lpwstr>2;#Policies|a2132d22-d4a5-4c09-b7dc-c7d9df5973de</vt:lpwstr>
  </property>
  <property fmtid="{D5CDD505-2E9C-101B-9397-08002B2CF9AE}" pid="4" name="Function Name">
    <vt:lpwstr>1;#Legal Services|fc20bdc8-151f-4b1d-aea5-c71094fe6d32</vt:lpwstr>
  </property>
  <property fmtid="{D5CDD505-2E9C-101B-9397-08002B2CF9AE}" pid="5" name="RecordType">
    <vt:lpwstr>4;#Policy|f90e447b-f780-432f-b51f-6acb9516abf7</vt:lpwstr>
  </property>
  <property fmtid="{D5CDD505-2E9C-101B-9397-08002B2CF9AE}" pid="6" name="PM_Namespace">
    <vt:lpwstr>gov.au</vt:lpwstr>
  </property>
  <property fmtid="{D5CDD505-2E9C-101B-9397-08002B2CF9AE}" pid="7" name="PM_Caveats_Count">
    <vt:lpwstr>0</vt:lpwstr>
  </property>
  <property fmtid="{D5CDD505-2E9C-101B-9397-08002B2CF9AE}" pid="8" name="PM_Version">
    <vt:lpwstr>2018.4</vt:lpwstr>
  </property>
  <property fmtid="{D5CDD505-2E9C-101B-9397-08002B2CF9AE}" pid="9" name="PM_Note">
    <vt:lpwstr/>
  </property>
  <property fmtid="{D5CDD505-2E9C-101B-9397-08002B2CF9AE}" pid="10" name="PMHMAC">
    <vt:lpwstr>v=2022.1;a=SHA256;h=0A704EC1CC400C31EB26376BD3E9B5C14713B9D84FD344AD9962D62AD34C1FD0</vt:lpwstr>
  </property>
  <property fmtid="{D5CDD505-2E9C-101B-9397-08002B2CF9AE}" pid="11" name="PM_Qualifier">
    <vt:lpwstr/>
  </property>
  <property fmtid="{D5CDD505-2E9C-101B-9397-08002B2CF9AE}" pid="12" name="PM_SecurityClassification">
    <vt:lpwstr>OFFICIAL</vt:lpwstr>
  </property>
  <property fmtid="{D5CDD505-2E9C-101B-9397-08002B2CF9AE}" pid="13" name="PM_ProtectiveMarkingValue_Header">
    <vt:lpwstr>OFFICIAL</vt:lpwstr>
  </property>
  <property fmtid="{D5CDD505-2E9C-101B-9397-08002B2CF9AE}" pid="14" name="PM_OriginationTimeStamp">
    <vt:lpwstr>2023-11-02T06:44:10Z</vt:lpwstr>
  </property>
  <property fmtid="{D5CDD505-2E9C-101B-9397-08002B2CF9AE}" pid="15" name="PM_Markers">
    <vt:lpwstr/>
  </property>
  <property fmtid="{D5CDD505-2E9C-101B-9397-08002B2CF9AE}" pid="16" name="PM_InsertionValue">
    <vt:lpwstr>OFFICIAL</vt:lpwstr>
  </property>
  <property fmtid="{D5CDD505-2E9C-101B-9397-08002B2CF9AE}" pid="17" name="PM_Originator_Hash_SHA1">
    <vt:lpwstr>62651C896F027337B0917591A88E0831BADB0F30</vt:lpwstr>
  </property>
  <property fmtid="{D5CDD505-2E9C-101B-9397-08002B2CF9AE}" pid="18" name="PM_DisplayValueSecClassificationWithQualifier">
    <vt:lpwstr>OFFICIAL</vt:lpwstr>
  </property>
  <property fmtid="{D5CDD505-2E9C-101B-9397-08002B2CF9AE}" pid="19" name="PM_Originating_FileId">
    <vt:lpwstr>B44BB7C5BBBF42CCA78FBA1CA3836FBC</vt:lpwstr>
  </property>
  <property fmtid="{D5CDD505-2E9C-101B-9397-08002B2CF9AE}" pid="20" name="PM_ProtectiveMarkingValue_Footer">
    <vt:lpwstr>OFFICIAL</vt:lpwstr>
  </property>
  <property fmtid="{D5CDD505-2E9C-101B-9397-08002B2CF9AE}" pid="21" name="PM_ProtectiveMarkingImage_Header">
    <vt:lpwstr>C:\Program Files\Common Files\janusNET Shared\janusSEAL\Images\DocumentSlashBlue.png</vt:lpwstr>
  </property>
  <property fmtid="{D5CDD505-2E9C-101B-9397-08002B2CF9AE}" pid="22" name="PM_ProtectiveMarkingImage_Footer">
    <vt:lpwstr>C:\Program Files\Common Files\janusNET Shared\janusSEAL\Images\DocumentSlashBlue.png</vt:lpwstr>
  </property>
  <property fmtid="{D5CDD505-2E9C-101B-9397-08002B2CF9AE}" pid="23" name="PM_Display">
    <vt:lpwstr>OFFICIAL</vt:lpwstr>
  </property>
  <property fmtid="{D5CDD505-2E9C-101B-9397-08002B2CF9AE}" pid="24" name="PM_OriginatorUserAccountName_SHA256">
    <vt:lpwstr>CFBE9EA95CBB88E2F7B8752707BAE6AEB1998AE5520D6094ECCC44AD28AAD5C8</vt:lpwstr>
  </property>
  <property fmtid="{D5CDD505-2E9C-101B-9397-08002B2CF9AE}" pid="25" name="PM_OriginatorDomainName_SHA256">
    <vt:lpwstr>0C3D4C92EC8F38444BA78741E5B5836F9817C3740155E164E6696E5C1131B3E3</vt:lpwstr>
  </property>
  <property fmtid="{D5CDD505-2E9C-101B-9397-08002B2CF9AE}" pid="26" name="PMUuid">
    <vt:lpwstr>v=2022.2;d=gov.au;g=46DD6D7C-8107-577B-BC6E-F348953B2E44</vt:lpwstr>
  </property>
  <property fmtid="{D5CDD505-2E9C-101B-9397-08002B2CF9AE}" pid="27" name="PM_Hash_Version">
    <vt:lpwstr>2022.1</vt:lpwstr>
  </property>
  <property fmtid="{D5CDD505-2E9C-101B-9397-08002B2CF9AE}" pid="28" name="PM_Hash_Salt_Prev">
    <vt:lpwstr>9F8B15EAF32A60ADB7AA5624486D8743</vt:lpwstr>
  </property>
  <property fmtid="{D5CDD505-2E9C-101B-9397-08002B2CF9AE}" pid="29" name="PM_Hash_Salt">
    <vt:lpwstr>F5AC16DC62C97A9A06F6B2586B85C08B</vt:lpwstr>
  </property>
  <property fmtid="{D5CDD505-2E9C-101B-9397-08002B2CF9AE}" pid="30" name="PM_Hash_SHA1">
    <vt:lpwstr>18F3E119BD25CF972FD5656D378CDFC0C74D2575</vt:lpwstr>
  </property>
  <property fmtid="{D5CDD505-2E9C-101B-9397-08002B2CF9AE}" pid="31" name="PM_SecurityClassification_Prev">
    <vt:lpwstr>OFFICIAL</vt:lpwstr>
  </property>
  <property fmtid="{D5CDD505-2E9C-101B-9397-08002B2CF9AE}" pid="32" name="PM_Qualifier_Prev">
    <vt:lpwstr/>
  </property>
</Properties>
</file>