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F3C4" w14:textId="0548E360" w:rsidR="002C533B" w:rsidRPr="0095119E" w:rsidRDefault="002C533B" w:rsidP="001C7590">
      <w:pPr>
        <w:pStyle w:val="Heading1"/>
        <w:spacing w:after="0"/>
        <w:rPr>
          <w:i/>
          <w:noProof/>
          <w:color w:val="004E7D"/>
        </w:rPr>
      </w:pPr>
      <w:r w:rsidRPr="0095119E">
        <w:rPr>
          <w:noProof/>
          <w:color w:val="004E7D"/>
        </w:rPr>
        <w:t xml:space="preserve">Guidance </w:t>
      </w:r>
      <w:r w:rsidR="00360A66">
        <w:rPr>
          <w:noProof/>
          <w:color w:val="004E7D"/>
        </w:rPr>
        <w:t>n</w:t>
      </w:r>
      <w:r w:rsidRPr="0095119E">
        <w:rPr>
          <w:noProof/>
          <w:color w:val="004E7D"/>
        </w:rPr>
        <w:t xml:space="preserve">ote: </w:t>
      </w:r>
      <w:r w:rsidRPr="0095119E">
        <w:rPr>
          <w:iCs/>
          <w:noProof/>
          <w:color w:val="004E7D"/>
        </w:rPr>
        <w:t xml:space="preserve">Academic </w:t>
      </w:r>
      <w:r w:rsidR="00360A66">
        <w:rPr>
          <w:iCs/>
          <w:noProof/>
          <w:color w:val="004E7D"/>
        </w:rPr>
        <w:t>g</w:t>
      </w:r>
      <w:r w:rsidRPr="0095119E">
        <w:rPr>
          <w:iCs/>
          <w:noProof/>
          <w:color w:val="004E7D"/>
        </w:rPr>
        <w:t>overnance</w:t>
      </w:r>
    </w:p>
    <w:p w14:paraId="5BB67D32" w14:textId="1909C041" w:rsidR="00F061CC" w:rsidRPr="0095119E" w:rsidRDefault="00F061CC" w:rsidP="00F061CC">
      <w:pPr>
        <w:pStyle w:val="Subtitle"/>
        <w:rPr>
          <w:rStyle w:val="SubtleEmphasis"/>
          <w:noProof/>
        </w:rPr>
      </w:pPr>
      <w:r w:rsidRPr="0095119E">
        <w:rPr>
          <w:rStyle w:val="SubtleEmphasis"/>
          <w:noProof/>
        </w:rPr>
        <w:t xml:space="preserve">Version </w:t>
      </w:r>
      <w:r w:rsidR="007D6687">
        <w:rPr>
          <w:rStyle w:val="SubtleEmphasis"/>
          <w:noProof/>
        </w:rPr>
        <w:t>3.1</w:t>
      </w:r>
      <w:r w:rsidR="00D30ACE" w:rsidRPr="0095119E">
        <w:rPr>
          <w:rStyle w:val="SubtleEmphasis"/>
          <w:noProof/>
        </w:rPr>
        <w:t xml:space="preserve"> </w:t>
      </w:r>
      <w:r w:rsidRPr="0095119E">
        <w:rPr>
          <w:rStyle w:val="SubtleEmphasis"/>
          <w:noProof/>
        </w:rPr>
        <w:t>(</w:t>
      </w:r>
      <w:r w:rsidR="007D6687">
        <w:rPr>
          <w:rStyle w:val="SubtleEmphasis"/>
          <w:noProof/>
        </w:rPr>
        <w:t>30 November 2023</w:t>
      </w:r>
      <w:r w:rsidRPr="0095119E">
        <w:rPr>
          <w:rStyle w:val="SubtleEmphasis"/>
          <w:noProof/>
        </w:rPr>
        <w:t>)</w:t>
      </w:r>
    </w:p>
    <w:p w14:paraId="55CD2593" w14:textId="17D845AE" w:rsidR="005B1316" w:rsidRPr="0095119E" w:rsidRDefault="005B1316" w:rsidP="00D025AF">
      <w:pPr>
        <w:pBdr>
          <w:top w:val="single" w:sz="4" w:space="1" w:color="auto"/>
          <w:left w:val="single" w:sz="4" w:space="4" w:color="auto"/>
          <w:bottom w:val="single" w:sz="4" w:space="1" w:color="auto"/>
          <w:right w:val="single" w:sz="4" w:space="4" w:color="auto"/>
        </w:pBdr>
        <w:shd w:val="clear" w:color="auto" w:fill="004E7D"/>
        <w:spacing w:line="276" w:lineRule="auto"/>
        <w:rPr>
          <w:rStyle w:val="SubtleEmphasis"/>
          <w:rFonts w:eastAsiaTheme="minorEastAsia"/>
          <w:noProof/>
          <w:color w:val="FFFFFF" w:themeColor="background1"/>
          <w:sz w:val="24"/>
        </w:rPr>
      </w:pPr>
      <w:r w:rsidRPr="0095119E">
        <w:rPr>
          <w:rStyle w:val="SubtleEmphasis"/>
          <w:noProof/>
          <w:color w:val="FFFFFF" w:themeColor="background1"/>
        </w:rPr>
        <w:t>Providers should note that Guidance Notes are intended to provide guidance</w:t>
      </w:r>
      <w:r w:rsidR="00A46149">
        <w:rPr>
          <w:rStyle w:val="SubtleEmphasis"/>
          <w:noProof/>
          <w:color w:val="FFFFFF" w:themeColor="background1"/>
        </w:rPr>
        <w:t xml:space="preserve"> only</w:t>
      </w:r>
      <w:r w:rsidRPr="0095119E">
        <w:rPr>
          <w:rStyle w:val="SubtleEmphasis"/>
          <w:noProof/>
          <w:color w:val="FFFFFF" w:themeColor="background1"/>
        </w:rPr>
        <w:t>. The definitive instruments for regulatory purposes remain the TEQSA Act and the Higher Education Standards Framework</w:t>
      </w:r>
      <w:r w:rsidR="00A46149">
        <w:rPr>
          <w:rStyle w:val="SubtleEmphasis"/>
          <w:noProof/>
          <w:color w:val="FFFFFF" w:themeColor="background1"/>
        </w:rPr>
        <w:t>,</w:t>
      </w:r>
      <w:r w:rsidRPr="0095119E">
        <w:rPr>
          <w:rStyle w:val="SubtleEmphasis"/>
          <w:noProof/>
          <w:color w:val="FFFFFF" w:themeColor="background1"/>
        </w:rPr>
        <w:t xml:space="preserve"> as amended from time to time.</w:t>
      </w:r>
    </w:p>
    <w:p w14:paraId="75687CAA" w14:textId="77777777" w:rsidR="002C533B" w:rsidRPr="0095119E" w:rsidRDefault="002C533B" w:rsidP="001C2847">
      <w:pPr>
        <w:pStyle w:val="Heading2"/>
        <w:numPr>
          <w:ilvl w:val="0"/>
          <w:numId w:val="18"/>
        </w:numPr>
        <w:ind w:hanging="720"/>
        <w:rPr>
          <w:iCs/>
          <w:noProof/>
          <w:color w:val="004E7D"/>
        </w:rPr>
      </w:pPr>
      <w:r w:rsidRPr="0095119E">
        <w:rPr>
          <w:iCs/>
          <w:noProof/>
          <w:color w:val="004E7D"/>
        </w:rPr>
        <w:t>What is academic governance?</w:t>
      </w:r>
    </w:p>
    <w:p w14:paraId="7CD388E1" w14:textId="326ED4C7" w:rsidR="00806824" w:rsidRPr="0095119E" w:rsidRDefault="00C871C5" w:rsidP="00AA3E3C">
      <w:pPr>
        <w:rPr>
          <w:rFonts w:ascii="Arial" w:hAnsi="Arial" w:cs="Arial"/>
          <w:noProof/>
          <w:color w:val="auto"/>
        </w:rPr>
      </w:pPr>
      <w:r w:rsidRPr="0095119E">
        <w:rPr>
          <w:noProof/>
        </w:rPr>
        <w:t>For the purpose of</w:t>
      </w:r>
      <w:r w:rsidR="006A06B7" w:rsidRPr="0095119E">
        <w:rPr>
          <w:noProof/>
        </w:rPr>
        <w:t xml:space="preserve"> the </w:t>
      </w:r>
      <w:hyperlink r:id="rId11" w:history="1">
        <w:r w:rsidR="006A06B7" w:rsidRPr="0360F8BF">
          <w:rPr>
            <w:rStyle w:val="Hyperlink"/>
            <w:rFonts w:ascii="Arial" w:hAnsi="Arial" w:cs="Arial"/>
            <w:i/>
            <w:iCs/>
            <w:noProof/>
          </w:rPr>
          <w:t>Higher Education Standards Framework</w:t>
        </w:r>
        <w:r w:rsidR="006A06B7" w:rsidRPr="0095119E">
          <w:rPr>
            <w:rStyle w:val="Hyperlink"/>
            <w:rFonts w:ascii="Arial" w:hAnsi="Arial" w:cs="Arial"/>
            <w:noProof/>
          </w:rPr>
          <w:t xml:space="preserve"> </w:t>
        </w:r>
        <w:r w:rsidR="006A06B7" w:rsidRPr="0360F8BF">
          <w:rPr>
            <w:rStyle w:val="Hyperlink"/>
            <w:rFonts w:ascii="Arial" w:hAnsi="Arial" w:cs="Arial"/>
            <w:i/>
            <w:iCs/>
            <w:noProof/>
          </w:rPr>
          <w:t>(Threshold Standards) 2021</w:t>
        </w:r>
      </w:hyperlink>
      <w:r w:rsidR="006A06B7" w:rsidRPr="0095119E">
        <w:rPr>
          <w:rFonts w:ascii="Arial" w:hAnsi="Arial" w:cs="Arial"/>
          <w:noProof/>
          <w:color w:val="auto"/>
        </w:rPr>
        <w:t xml:space="preserve"> (</w:t>
      </w:r>
      <w:r w:rsidR="002A1ACB" w:rsidRPr="0095119E">
        <w:rPr>
          <w:rFonts w:ascii="Arial" w:hAnsi="Arial" w:cs="Arial"/>
          <w:noProof/>
          <w:color w:val="auto"/>
        </w:rPr>
        <w:t>Threshold Standards</w:t>
      </w:r>
      <w:r w:rsidR="006A06B7" w:rsidRPr="0095119E">
        <w:rPr>
          <w:rFonts w:ascii="Arial" w:hAnsi="Arial" w:cs="Arial"/>
          <w:noProof/>
          <w:color w:val="auto"/>
        </w:rPr>
        <w:t>)</w:t>
      </w:r>
      <w:r w:rsidR="00E00DDC" w:rsidRPr="0095119E">
        <w:rPr>
          <w:rFonts w:ascii="Arial" w:hAnsi="Arial" w:cs="Arial"/>
          <w:noProof/>
          <w:color w:val="auto"/>
        </w:rPr>
        <w:t>,</w:t>
      </w:r>
      <w:r w:rsidR="00AA3E3C" w:rsidRPr="0095119E">
        <w:rPr>
          <w:rFonts w:ascii="Arial" w:hAnsi="Arial" w:cs="Arial"/>
          <w:noProof/>
          <w:color w:val="auto"/>
        </w:rPr>
        <w:t xml:space="preserve"> academic </w:t>
      </w:r>
      <w:r w:rsidR="002B37EF" w:rsidRPr="0095119E">
        <w:rPr>
          <w:rFonts w:ascii="Arial" w:hAnsi="Arial" w:cs="Arial"/>
          <w:noProof/>
          <w:color w:val="auto"/>
        </w:rPr>
        <w:t>governance</w:t>
      </w:r>
      <w:r w:rsidR="00AA3E3C" w:rsidRPr="0095119E">
        <w:rPr>
          <w:rFonts w:ascii="Arial" w:hAnsi="Arial" w:cs="Arial"/>
          <w:noProof/>
          <w:color w:val="auto"/>
        </w:rPr>
        <w:t xml:space="preserve"> is a subset of the overall governance of a higher education provider</w:t>
      </w:r>
      <w:r w:rsidR="0086284E" w:rsidRPr="0095119E">
        <w:rPr>
          <w:rFonts w:ascii="Arial" w:hAnsi="Arial" w:cs="Arial"/>
          <w:noProof/>
          <w:color w:val="auto"/>
        </w:rPr>
        <w:t xml:space="preserve"> (provider)</w:t>
      </w:r>
      <w:r w:rsidR="00AA3E3C" w:rsidRPr="0095119E">
        <w:rPr>
          <w:rFonts w:ascii="Arial" w:hAnsi="Arial" w:cs="Arial"/>
          <w:noProof/>
          <w:color w:val="auto"/>
        </w:rPr>
        <w:t xml:space="preserve">. </w:t>
      </w:r>
      <w:r w:rsidR="00BF34F5" w:rsidRPr="0095119E">
        <w:rPr>
          <w:rFonts w:ascii="Arial" w:hAnsi="Arial" w:cs="Arial"/>
          <w:noProof/>
          <w:color w:val="auto"/>
        </w:rPr>
        <w:t xml:space="preserve">Academic governance is concerned with the integrity and quality of the core higher education activities of teaching, </w:t>
      </w:r>
      <w:r w:rsidR="00386F22">
        <w:rPr>
          <w:rFonts w:ascii="Arial" w:hAnsi="Arial" w:cs="Arial"/>
          <w:noProof/>
          <w:color w:val="auto"/>
        </w:rPr>
        <w:t xml:space="preserve">student learning, </w:t>
      </w:r>
      <w:r w:rsidR="00BF34F5" w:rsidRPr="0095119E">
        <w:rPr>
          <w:rFonts w:ascii="Arial" w:hAnsi="Arial" w:cs="Arial"/>
          <w:noProof/>
          <w:color w:val="auto"/>
        </w:rPr>
        <w:t>research</w:t>
      </w:r>
      <w:r w:rsidR="00B64B02">
        <w:rPr>
          <w:rFonts w:ascii="Arial" w:hAnsi="Arial" w:cs="Arial"/>
          <w:noProof/>
          <w:color w:val="auto"/>
        </w:rPr>
        <w:t xml:space="preserve"> (including research training)</w:t>
      </w:r>
      <w:r w:rsidR="00BF34F5" w:rsidRPr="0095119E">
        <w:rPr>
          <w:rFonts w:ascii="Arial" w:hAnsi="Arial" w:cs="Arial"/>
          <w:noProof/>
          <w:color w:val="auto"/>
        </w:rPr>
        <w:t xml:space="preserve"> and scholarship. It</w:t>
      </w:r>
      <w:r w:rsidR="00AA3E3C" w:rsidRPr="0095119E">
        <w:rPr>
          <w:rFonts w:ascii="Arial" w:hAnsi="Arial" w:cs="Arial"/>
          <w:noProof/>
          <w:color w:val="auto"/>
        </w:rPr>
        <w:t xml:space="preserve"> </w:t>
      </w:r>
      <w:r w:rsidR="00F450D3" w:rsidRPr="0095119E">
        <w:rPr>
          <w:rFonts w:ascii="Arial" w:hAnsi="Arial" w:cs="Arial"/>
          <w:noProof/>
          <w:color w:val="auto"/>
        </w:rPr>
        <w:t>refers</w:t>
      </w:r>
      <w:r w:rsidR="00714DCD" w:rsidRPr="0095119E">
        <w:rPr>
          <w:rFonts w:ascii="Arial" w:hAnsi="Arial" w:cs="Arial"/>
          <w:noProof/>
          <w:color w:val="auto"/>
        </w:rPr>
        <w:t xml:space="preserve"> to</w:t>
      </w:r>
      <w:r w:rsidR="00AA3E3C" w:rsidRPr="0095119E">
        <w:rPr>
          <w:rFonts w:ascii="Arial" w:hAnsi="Arial" w:cs="Arial"/>
          <w:noProof/>
          <w:color w:val="auto"/>
        </w:rPr>
        <w:t xml:space="preserve"> the framework that regulates </w:t>
      </w:r>
      <w:r w:rsidR="00EE29E0" w:rsidRPr="0095119E">
        <w:rPr>
          <w:rFonts w:ascii="Arial" w:hAnsi="Arial" w:cs="Arial"/>
          <w:noProof/>
          <w:color w:val="auto"/>
        </w:rPr>
        <w:t xml:space="preserve">a </w:t>
      </w:r>
      <w:r w:rsidR="00AA3E3C" w:rsidRPr="0095119E">
        <w:rPr>
          <w:rFonts w:ascii="Arial" w:hAnsi="Arial" w:cs="Arial"/>
          <w:noProof/>
          <w:color w:val="auto"/>
        </w:rPr>
        <w:t>provider</w:t>
      </w:r>
      <w:r w:rsidR="00454DCD" w:rsidRPr="0095119E">
        <w:rPr>
          <w:rFonts w:ascii="Arial" w:hAnsi="Arial" w:cs="Arial"/>
          <w:noProof/>
          <w:color w:val="auto"/>
        </w:rPr>
        <w:t>’</w:t>
      </w:r>
      <w:r w:rsidR="00AA3E3C" w:rsidRPr="0095119E">
        <w:rPr>
          <w:rFonts w:ascii="Arial" w:hAnsi="Arial" w:cs="Arial"/>
          <w:noProof/>
          <w:color w:val="auto"/>
        </w:rPr>
        <w:t>s academic decisions and quality assurance</w:t>
      </w:r>
      <w:r w:rsidR="00E83771" w:rsidRPr="0095119E">
        <w:rPr>
          <w:rFonts w:ascii="Arial" w:hAnsi="Arial" w:cs="Arial"/>
          <w:noProof/>
          <w:color w:val="auto"/>
        </w:rPr>
        <w:t xml:space="preserve">, </w:t>
      </w:r>
      <w:r w:rsidR="00C425E8" w:rsidRPr="0095119E">
        <w:rPr>
          <w:rFonts w:ascii="Arial" w:hAnsi="Arial" w:cs="Arial"/>
          <w:noProof/>
          <w:color w:val="auto"/>
        </w:rPr>
        <w:t>incorporating</w:t>
      </w:r>
      <w:r w:rsidR="00E83771" w:rsidRPr="0095119E">
        <w:rPr>
          <w:rFonts w:ascii="Arial" w:hAnsi="Arial" w:cs="Arial"/>
          <w:noProof/>
          <w:color w:val="auto"/>
        </w:rPr>
        <w:t xml:space="preserve"> </w:t>
      </w:r>
      <w:r w:rsidR="00AA3E3C" w:rsidRPr="0095119E">
        <w:rPr>
          <w:rFonts w:ascii="Arial" w:hAnsi="Arial" w:cs="Arial"/>
          <w:noProof/>
          <w:color w:val="auto"/>
        </w:rPr>
        <w:t xml:space="preserve">policies, processes, definitions of roles, relationships, </w:t>
      </w:r>
      <w:r w:rsidR="002D1C47" w:rsidRPr="0095119E">
        <w:rPr>
          <w:rFonts w:ascii="Arial" w:hAnsi="Arial" w:cs="Arial"/>
          <w:noProof/>
          <w:color w:val="auto"/>
        </w:rPr>
        <w:t xml:space="preserve">specifications of delegations, </w:t>
      </w:r>
      <w:r w:rsidR="00AA3E3C" w:rsidRPr="0095119E">
        <w:rPr>
          <w:rFonts w:ascii="Arial" w:hAnsi="Arial" w:cs="Arial"/>
          <w:noProof/>
          <w:color w:val="auto"/>
        </w:rPr>
        <w:t xml:space="preserve">systems, strategies and resources that ensure academic </w:t>
      </w:r>
      <w:r w:rsidR="00093FA8" w:rsidRPr="0095119E">
        <w:rPr>
          <w:rFonts w:ascii="Arial" w:hAnsi="Arial" w:cs="Arial"/>
          <w:noProof/>
          <w:color w:val="auto"/>
        </w:rPr>
        <w:t>quality</w:t>
      </w:r>
      <w:r w:rsidR="00291107">
        <w:rPr>
          <w:rFonts w:ascii="Arial" w:hAnsi="Arial" w:cs="Arial"/>
          <w:noProof/>
          <w:color w:val="auto"/>
        </w:rPr>
        <w:t xml:space="preserve"> and</w:t>
      </w:r>
      <w:r w:rsidR="00F62A99">
        <w:rPr>
          <w:rFonts w:ascii="Arial" w:hAnsi="Arial" w:cs="Arial"/>
          <w:noProof/>
          <w:color w:val="auto"/>
        </w:rPr>
        <w:t xml:space="preserve"> </w:t>
      </w:r>
      <w:r w:rsidR="00AA3E3C" w:rsidRPr="0095119E">
        <w:rPr>
          <w:rFonts w:ascii="Arial" w:hAnsi="Arial" w:cs="Arial"/>
          <w:noProof/>
          <w:color w:val="auto"/>
        </w:rPr>
        <w:t>continuous improvement</w:t>
      </w:r>
      <w:r w:rsidR="00291107">
        <w:rPr>
          <w:rFonts w:ascii="Arial" w:hAnsi="Arial" w:cs="Arial"/>
          <w:noProof/>
          <w:color w:val="auto"/>
        </w:rPr>
        <w:t>.</w:t>
      </w:r>
      <w:r w:rsidR="00D3258E">
        <w:rPr>
          <w:rStyle w:val="FootnoteReference"/>
          <w:rFonts w:ascii="Arial" w:hAnsi="Arial" w:cs="Arial"/>
          <w:noProof/>
          <w:color w:val="auto"/>
        </w:rPr>
        <w:footnoteReference w:id="2"/>
      </w:r>
    </w:p>
    <w:p w14:paraId="3EC313FF" w14:textId="0B8E1B08" w:rsidR="00D862F3" w:rsidRDefault="00D862F3" w:rsidP="00D862F3">
      <w:pPr>
        <w:rPr>
          <w:noProof/>
        </w:rPr>
      </w:pPr>
      <w:r w:rsidRPr="2F735A64">
        <w:rPr>
          <w:noProof/>
        </w:rPr>
        <w:t xml:space="preserve">Academic governance that is robust and high functioning is a </w:t>
      </w:r>
      <w:r w:rsidR="4FE028F2" w:rsidRPr="2F735A64">
        <w:rPr>
          <w:noProof/>
        </w:rPr>
        <w:t xml:space="preserve">primary </w:t>
      </w:r>
      <w:r w:rsidRPr="2F735A64">
        <w:rPr>
          <w:noProof/>
        </w:rPr>
        <w:t xml:space="preserve">contributor to </w:t>
      </w:r>
      <w:r w:rsidR="34988D58" w:rsidRPr="2F735A64">
        <w:rPr>
          <w:noProof/>
        </w:rPr>
        <w:t>establishing a</w:t>
      </w:r>
      <w:r w:rsidRPr="2F735A64">
        <w:rPr>
          <w:noProof/>
        </w:rPr>
        <w:t xml:space="preserve"> reputation</w:t>
      </w:r>
      <w:r w:rsidR="07B825F0" w:rsidRPr="2F735A64">
        <w:rPr>
          <w:noProof/>
        </w:rPr>
        <w:t xml:space="preserve"> as a quality provider</w:t>
      </w:r>
      <w:r w:rsidRPr="2F735A64">
        <w:rPr>
          <w:noProof/>
        </w:rPr>
        <w:t xml:space="preserve"> through </w:t>
      </w:r>
      <w:r w:rsidR="009A7ECF" w:rsidRPr="2F735A64">
        <w:rPr>
          <w:noProof/>
        </w:rPr>
        <w:t>self-assurance of</w:t>
      </w:r>
      <w:r w:rsidR="6421B071" w:rsidRPr="2F735A64">
        <w:rPr>
          <w:noProof/>
        </w:rPr>
        <w:t xml:space="preserve"> </w:t>
      </w:r>
      <w:r w:rsidRPr="2F735A64">
        <w:rPr>
          <w:noProof/>
        </w:rPr>
        <w:t>academic and research integrity</w:t>
      </w:r>
      <w:r w:rsidR="009728C3" w:rsidRPr="2F735A64">
        <w:rPr>
          <w:noProof/>
        </w:rPr>
        <w:t>,</w:t>
      </w:r>
      <w:r w:rsidRPr="2F735A64">
        <w:rPr>
          <w:noProof/>
        </w:rPr>
        <w:t xml:space="preserve"> and delivering expected outcomes for students. Academic governance is also important to ensure </w:t>
      </w:r>
      <w:r w:rsidR="7EB95117" w:rsidRPr="2F735A64">
        <w:rPr>
          <w:noProof/>
        </w:rPr>
        <w:t xml:space="preserve">a </w:t>
      </w:r>
      <w:r w:rsidRPr="2F735A64">
        <w:rPr>
          <w:noProof/>
        </w:rPr>
        <w:t xml:space="preserve">provider’s activities adhere to its institutional policy obligations, and that all qualifications awarded reflect the requirements </w:t>
      </w:r>
      <w:r w:rsidR="00B87AAD" w:rsidRPr="2F735A64">
        <w:rPr>
          <w:noProof/>
        </w:rPr>
        <w:t>within</w:t>
      </w:r>
      <w:r w:rsidRPr="2F735A64">
        <w:rPr>
          <w:noProof/>
        </w:rPr>
        <w:t xml:space="preserve"> the Australian Qualifications Framework (AQF). </w:t>
      </w:r>
      <w:r w:rsidR="67A669E1" w:rsidRPr="260D3260">
        <w:rPr>
          <w:noProof/>
        </w:rPr>
        <w:t>At</w:t>
      </w:r>
      <w:r w:rsidR="00187131">
        <w:rPr>
          <w:noProof/>
        </w:rPr>
        <w:t xml:space="preserve"> </w:t>
      </w:r>
      <w:r w:rsidR="2D479206" w:rsidRPr="260D3260">
        <w:rPr>
          <w:noProof/>
        </w:rPr>
        <w:t>many</w:t>
      </w:r>
      <w:r w:rsidR="00014DD5" w:rsidRPr="2F735A64">
        <w:rPr>
          <w:noProof/>
        </w:rPr>
        <w:t xml:space="preserve"> </w:t>
      </w:r>
      <w:r w:rsidR="03EA2EEC" w:rsidRPr="260D3260">
        <w:rPr>
          <w:noProof/>
        </w:rPr>
        <w:t>providers</w:t>
      </w:r>
      <w:r w:rsidR="7994B486" w:rsidRPr="260D3260">
        <w:rPr>
          <w:noProof/>
        </w:rPr>
        <w:t xml:space="preserve">, </w:t>
      </w:r>
      <w:r w:rsidR="00384068" w:rsidRPr="2F735A64">
        <w:rPr>
          <w:noProof/>
        </w:rPr>
        <w:t>the responsibility of</w:t>
      </w:r>
      <w:r w:rsidR="00571141" w:rsidRPr="2F735A64">
        <w:rPr>
          <w:noProof/>
        </w:rPr>
        <w:t xml:space="preserve"> overseeing academic governance</w:t>
      </w:r>
      <w:r w:rsidR="00852D75" w:rsidRPr="2F735A64">
        <w:rPr>
          <w:noProof/>
        </w:rPr>
        <w:t>,</w:t>
      </w:r>
      <w:r w:rsidR="00571141" w:rsidRPr="2F735A64">
        <w:rPr>
          <w:noProof/>
        </w:rPr>
        <w:t xml:space="preserve"> </w:t>
      </w:r>
      <w:r w:rsidR="00BE72D7" w:rsidRPr="2F735A64">
        <w:rPr>
          <w:noProof/>
        </w:rPr>
        <w:t xml:space="preserve">rests with an academic board. </w:t>
      </w:r>
    </w:p>
    <w:p w14:paraId="6190E106" w14:textId="77777777" w:rsidR="00276FEC" w:rsidRPr="00A60C69" w:rsidRDefault="00276FEC" w:rsidP="00276FEC">
      <w:pPr>
        <w:pStyle w:val="Heading3"/>
        <w:rPr>
          <w:noProof/>
          <w:color w:val="004E7D"/>
        </w:rPr>
      </w:pPr>
      <w:r w:rsidRPr="00A60C69">
        <w:rPr>
          <w:noProof/>
          <w:color w:val="004E7D"/>
        </w:rPr>
        <w:t>Academic governance and self-assurance</w:t>
      </w:r>
    </w:p>
    <w:p w14:paraId="700AD983" w14:textId="2F66E533" w:rsidR="00822987" w:rsidRDefault="00276FEC" w:rsidP="00276FEC">
      <w:r>
        <w:t>Academic governance plays a key role in</w:t>
      </w:r>
      <w:r w:rsidR="001F5CE1">
        <w:t xml:space="preserve"> a provider’s</w:t>
      </w:r>
      <w:r>
        <w:t xml:space="preserve"> monitoring and </w:t>
      </w:r>
      <w:r w:rsidR="001F5CE1">
        <w:t xml:space="preserve">management of </w:t>
      </w:r>
      <w:r>
        <w:t xml:space="preserve">academic risk (see guidance note Monitoring, </w:t>
      </w:r>
      <w:proofErr w:type="gramStart"/>
      <w:r>
        <w:t>Review</w:t>
      </w:r>
      <w:proofErr w:type="gramEnd"/>
      <w:r>
        <w:t xml:space="preserve"> and Improvement</w:t>
      </w:r>
      <w:r w:rsidR="001C2847">
        <w:t>)</w:t>
      </w:r>
      <w:r>
        <w:t xml:space="preserve">. </w:t>
      </w:r>
    </w:p>
    <w:p w14:paraId="380B7011" w14:textId="19B5D506" w:rsidR="001F7BDB" w:rsidRDefault="00A446D7" w:rsidP="00276FEC">
      <w:r>
        <w:t xml:space="preserve">In identifying and responding to </w:t>
      </w:r>
      <w:r w:rsidR="00276FEC">
        <w:t>academic risk</w:t>
      </w:r>
      <w:r>
        <w:t xml:space="preserve">, self-assurance </w:t>
      </w:r>
      <w:r w:rsidR="00276FEC">
        <w:t>need</w:t>
      </w:r>
      <w:r w:rsidR="00E62B4B">
        <w:t>s</w:t>
      </w:r>
      <w:r w:rsidR="00276FEC">
        <w:t xml:space="preserve"> to be embedded in the</w:t>
      </w:r>
      <w:r w:rsidR="002E77BB">
        <w:t xml:space="preserve"> business-as-usual</w:t>
      </w:r>
      <w:r w:rsidR="00276FEC">
        <w:t xml:space="preserve"> operations of providers</w:t>
      </w:r>
      <w:r w:rsidR="00545331">
        <w:t>. This should have</w:t>
      </w:r>
      <w:r w:rsidR="00276FEC">
        <w:t xml:space="preserve"> strong oversight</w:t>
      </w:r>
      <w:r w:rsidR="00545331">
        <w:t xml:space="preserve"> by the primary body responsible for academic governance, typically an academic board</w:t>
      </w:r>
      <w:r w:rsidR="00276FEC">
        <w:t xml:space="preserve">. </w:t>
      </w:r>
      <w:r w:rsidR="00B423FB">
        <w:t>This is because</w:t>
      </w:r>
      <w:r w:rsidR="00545331">
        <w:t xml:space="preserve"> effective</w:t>
      </w:r>
      <w:r w:rsidR="00B423FB">
        <w:t xml:space="preserve"> </w:t>
      </w:r>
      <w:r w:rsidR="00B423FB">
        <w:rPr>
          <w:noProof/>
        </w:rPr>
        <w:t>s</w:t>
      </w:r>
      <w:r w:rsidR="00B423FB" w:rsidRPr="00FB69A2">
        <w:rPr>
          <w:noProof/>
        </w:rPr>
        <w:t xml:space="preserve">elf-assurance </w:t>
      </w:r>
      <w:r w:rsidR="000269EB">
        <w:rPr>
          <w:noProof/>
        </w:rPr>
        <w:t>is</w:t>
      </w:r>
      <w:r w:rsidR="00B423FB" w:rsidRPr="00FB69A2">
        <w:rPr>
          <w:noProof/>
        </w:rPr>
        <w:t xml:space="preserve"> key to protecting the integrity of</w:t>
      </w:r>
      <w:r w:rsidR="00E62B4B">
        <w:rPr>
          <w:noProof/>
        </w:rPr>
        <w:t xml:space="preserve"> a provider’s</w:t>
      </w:r>
      <w:r w:rsidR="00B423FB" w:rsidRPr="00FB69A2">
        <w:rPr>
          <w:noProof/>
        </w:rPr>
        <w:t xml:space="preserve"> core higher education activities.</w:t>
      </w:r>
      <w:r w:rsidR="00B423FB">
        <w:t xml:space="preserve"> </w:t>
      </w:r>
    </w:p>
    <w:p w14:paraId="0E158065" w14:textId="2F48C53F" w:rsidR="00276FEC" w:rsidRDefault="00074F5B" w:rsidP="00276FEC">
      <w:r>
        <w:t xml:space="preserve">For strong self-assurance </w:t>
      </w:r>
      <w:r w:rsidR="00526178">
        <w:t>i</w:t>
      </w:r>
      <w:r w:rsidR="00076759">
        <w:t>t is recommended</w:t>
      </w:r>
      <w:r w:rsidR="00953F10">
        <w:t xml:space="preserve"> that</w:t>
      </w:r>
      <w:r w:rsidR="00076759">
        <w:t xml:space="preserve"> </w:t>
      </w:r>
      <w:r w:rsidR="00634DBA">
        <w:t xml:space="preserve">an </w:t>
      </w:r>
      <w:r w:rsidR="001A0B28">
        <w:t>a</w:t>
      </w:r>
      <w:r w:rsidR="00D646AD">
        <w:t xml:space="preserve">cademic </w:t>
      </w:r>
      <w:r w:rsidR="001A0B28">
        <w:t>b</w:t>
      </w:r>
      <w:r w:rsidR="00D646AD">
        <w:t>oard</w:t>
      </w:r>
      <w:r w:rsidR="00CC65CA">
        <w:t xml:space="preserve"> (or </w:t>
      </w:r>
      <w:r w:rsidR="00944235">
        <w:t>equivalent</w:t>
      </w:r>
      <w:r w:rsidR="007A59CC">
        <w:t xml:space="preserve"> entity</w:t>
      </w:r>
      <w:r w:rsidR="00076759">
        <w:t>)</w:t>
      </w:r>
      <w:r w:rsidR="009C7A9B">
        <w:t xml:space="preserve"> hold</w:t>
      </w:r>
      <w:r w:rsidR="0059253B">
        <w:t xml:space="preserve"> responsibility</w:t>
      </w:r>
      <w:r w:rsidR="00EB6BC2">
        <w:t xml:space="preserve"> </w:t>
      </w:r>
      <w:r w:rsidR="009C7A9B">
        <w:t>for</w:t>
      </w:r>
      <w:r w:rsidR="00EB6BC2">
        <w:t xml:space="preserve"> carry</w:t>
      </w:r>
      <w:r w:rsidR="009C7A9B">
        <w:t>ing</w:t>
      </w:r>
      <w:r w:rsidR="00EB6BC2">
        <w:t xml:space="preserve"> out</w:t>
      </w:r>
      <w:r w:rsidR="00261C4D">
        <w:t xml:space="preserve"> </w:t>
      </w:r>
      <w:r w:rsidR="002232B7">
        <w:t>a cyclical</w:t>
      </w:r>
      <w:r w:rsidR="00261C4D">
        <w:t xml:space="preserve"> program of</w:t>
      </w:r>
      <w:r w:rsidR="00EB6BC2">
        <w:t xml:space="preserve"> self-assurance</w:t>
      </w:r>
      <w:r w:rsidR="00076759">
        <w:t xml:space="preserve">. </w:t>
      </w:r>
      <w:r w:rsidR="008131DA">
        <w:t>This</w:t>
      </w:r>
      <w:r w:rsidR="002232B7">
        <w:t xml:space="preserve"> p</w:t>
      </w:r>
      <w:r w:rsidR="00944235">
        <w:t>rogram</w:t>
      </w:r>
      <w:r w:rsidR="00F03FCE">
        <w:t xml:space="preserve"> should</w:t>
      </w:r>
      <w:r w:rsidR="00EB6BC2">
        <w:t xml:space="preserve"> </w:t>
      </w:r>
      <w:r w:rsidR="00F03FCE">
        <w:t>enable</w:t>
      </w:r>
      <w:r w:rsidR="00634DBA">
        <w:t xml:space="preserve"> it to identify and</w:t>
      </w:r>
      <w:r w:rsidR="00EB6BC2">
        <w:t xml:space="preserve"> </w:t>
      </w:r>
      <w:r w:rsidR="00BF403F">
        <w:t xml:space="preserve">respond to </w:t>
      </w:r>
      <w:r w:rsidR="0036033E">
        <w:t xml:space="preserve">episodic and </w:t>
      </w:r>
      <w:r w:rsidR="009C7A9B">
        <w:t>routine</w:t>
      </w:r>
      <w:r w:rsidR="0036033E">
        <w:t xml:space="preserve"> risks</w:t>
      </w:r>
      <w:r w:rsidR="00655B53">
        <w:t>.</w:t>
      </w:r>
      <w:r w:rsidR="0036033E">
        <w:t xml:space="preserve"> </w:t>
      </w:r>
    </w:p>
    <w:p w14:paraId="668DD843" w14:textId="1F658B04" w:rsidR="00FB69A2" w:rsidRPr="00FB69A2" w:rsidRDefault="00AE361D" w:rsidP="00FB69A2">
      <w:r>
        <w:t>Further it is recommended that g</w:t>
      </w:r>
      <w:r w:rsidR="00327390">
        <w:t>ood record</w:t>
      </w:r>
      <w:r>
        <w:t>-</w:t>
      </w:r>
      <w:r w:rsidR="00327390">
        <w:t>keeping</w:t>
      </w:r>
      <w:r w:rsidR="00074F5B">
        <w:t xml:space="preserve"> </w:t>
      </w:r>
      <w:r>
        <w:t>underpin a provider’s</w:t>
      </w:r>
      <w:r w:rsidR="00074F5B">
        <w:t xml:space="preserve"> self-assurance</w:t>
      </w:r>
      <w:r w:rsidR="005635C6">
        <w:t xml:space="preserve">. </w:t>
      </w:r>
      <w:r w:rsidR="00457965">
        <w:t>For regulatory assessments, a</w:t>
      </w:r>
      <w:r w:rsidR="005635C6">
        <w:t>uditable records</w:t>
      </w:r>
      <w:r w:rsidR="008A77D5">
        <w:t xml:space="preserve"> </w:t>
      </w:r>
      <w:r w:rsidR="00D12199">
        <w:t xml:space="preserve">arising from self-assurance can be used to </w:t>
      </w:r>
      <w:r w:rsidR="00D12199">
        <w:lastRenderedPageBreak/>
        <w:t xml:space="preserve">demonstrate </w:t>
      </w:r>
      <w:r w:rsidR="005D1005">
        <w:t>it</w:t>
      </w:r>
      <w:r w:rsidR="00457965">
        <w:t xml:space="preserve"> is occurring and effective</w:t>
      </w:r>
      <w:r w:rsidR="00D12199">
        <w:t xml:space="preserve">. </w:t>
      </w:r>
      <w:r w:rsidR="00BA3E92">
        <w:t xml:space="preserve">Such records may </w:t>
      </w:r>
      <w:proofErr w:type="gramStart"/>
      <w:r w:rsidR="00BA3E92">
        <w:t>include</w:t>
      </w:r>
      <w:r w:rsidR="000E7313">
        <w:t>, but</w:t>
      </w:r>
      <w:proofErr w:type="gramEnd"/>
      <w:r w:rsidR="000E7313">
        <w:t xml:space="preserve"> are not limited to: relevant</w:t>
      </w:r>
      <w:r w:rsidR="00BA3E92">
        <w:t xml:space="preserve"> </w:t>
      </w:r>
      <w:r w:rsidR="003B32E4">
        <w:t>evidence collected</w:t>
      </w:r>
      <w:r w:rsidR="000E7313">
        <w:t xml:space="preserve"> and</w:t>
      </w:r>
      <w:r w:rsidR="003B32E4">
        <w:t xml:space="preserve"> reports</w:t>
      </w:r>
      <w:r w:rsidR="00A51872">
        <w:t xml:space="preserve"> developed</w:t>
      </w:r>
      <w:r w:rsidR="003B32E4">
        <w:t>,</w:t>
      </w:r>
      <w:r w:rsidR="00A51872">
        <w:t xml:space="preserve"> </w:t>
      </w:r>
      <w:r w:rsidR="000E7313">
        <w:t>as well as</w:t>
      </w:r>
      <w:r w:rsidR="00B86072">
        <w:t xml:space="preserve"> records of</w:t>
      </w:r>
      <w:r w:rsidR="00ED22F8">
        <w:t xml:space="preserve"> the academic board’s (or equivalent</w:t>
      </w:r>
      <w:r w:rsidR="00B86CFF">
        <w:t>'s</w:t>
      </w:r>
      <w:r w:rsidR="00ED22F8">
        <w:t>)</w:t>
      </w:r>
      <w:r w:rsidR="003B32E4">
        <w:t xml:space="preserve"> </w:t>
      </w:r>
      <w:r w:rsidR="00313271">
        <w:t>discussions</w:t>
      </w:r>
      <w:r w:rsidR="003B32E4">
        <w:t xml:space="preserve"> and</w:t>
      </w:r>
      <w:r w:rsidR="00111DA0">
        <w:t xml:space="preserve"> </w:t>
      </w:r>
      <w:r w:rsidR="005635C6">
        <w:t>decision</w:t>
      </w:r>
      <w:r w:rsidR="00FB69A2">
        <w:t>s</w:t>
      </w:r>
      <w:r w:rsidR="00B86CFF">
        <w:t>.</w:t>
      </w:r>
    </w:p>
    <w:p w14:paraId="52D3764C" w14:textId="6E5B85D8" w:rsidR="00FC3F24" w:rsidRDefault="004D284E" w:rsidP="00FC3F24">
      <w:pPr>
        <w:pStyle w:val="Heading3"/>
        <w:rPr>
          <w:noProof/>
          <w:color w:val="004E7D"/>
        </w:rPr>
      </w:pPr>
      <w:r>
        <w:rPr>
          <w:noProof/>
          <w:color w:val="004E7D"/>
        </w:rPr>
        <w:t>Relationship</w:t>
      </w:r>
      <w:r w:rsidR="006B3924">
        <w:rPr>
          <w:noProof/>
          <w:color w:val="004E7D"/>
        </w:rPr>
        <w:t xml:space="preserve"> between corporate and academic governance</w:t>
      </w:r>
    </w:p>
    <w:p w14:paraId="59D32B2F" w14:textId="77777777" w:rsidR="00236348" w:rsidRPr="001E39D3" w:rsidRDefault="00236348" w:rsidP="00236348">
      <w:pPr>
        <w:rPr>
          <w:color w:val="auto"/>
        </w:rPr>
      </w:pPr>
      <w:r w:rsidRPr="001E39D3">
        <w:rPr>
          <w:color w:val="auto"/>
        </w:rPr>
        <w:t xml:space="preserve">Corporate governance and academic governance bodies are expected to be separate bodies. However, important interdependencies exist between the corporate and academic functions. These should be captured in a provider’s governance framework and processes, to ensure coherency and meet the requirements of the Threshold Standards. </w:t>
      </w:r>
    </w:p>
    <w:p w14:paraId="6937A962" w14:textId="2F8BF8B7" w:rsidR="00236348" w:rsidRPr="001E39D3" w:rsidRDefault="00236348" w:rsidP="00236348">
      <w:pPr>
        <w:rPr>
          <w:color w:val="auto"/>
        </w:rPr>
      </w:pPr>
      <w:r w:rsidRPr="001E39D3">
        <w:rPr>
          <w:color w:val="auto"/>
        </w:rPr>
        <w:t xml:space="preserve">Recognising that structural arrangements to provide academic governance can vary across </w:t>
      </w:r>
      <w:r w:rsidR="00CC4700" w:rsidRPr="00CC4700">
        <w:rPr>
          <w:color w:val="auto"/>
        </w:rPr>
        <w:t>providers, generally</w:t>
      </w:r>
      <w:r w:rsidRPr="001E39D3">
        <w:rPr>
          <w:color w:val="auto"/>
        </w:rPr>
        <w:t xml:space="preserve"> the collective oversight of the academic community is exercised through an </w:t>
      </w:r>
      <w:r w:rsidR="00CC4700" w:rsidRPr="001E39D3">
        <w:rPr>
          <w:color w:val="auto"/>
        </w:rPr>
        <w:t>A</w:t>
      </w:r>
      <w:r w:rsidRPr="001E39D3">
        <w:rPr>
          <w:color w:val="auto"/>
        </w:rPr>
        <w:t xml:space="preserve">cademic </w:t>
      </w:r>
      <w:r w:rsidR="00CC4700" w:rsidRPr="001E39D3">
        <w:rPr>
          <w:color w:val="auto"/>
        </w:rPr>
        <w:t>B</w:t>
      </w:r>
      <w:r w:rsidRPr="001E39D3">
        <w:rPr>
          <w:color w:val="auto"/>
        </w:rPr>
        <w:t>oard, sometimes in cooperation with a variety of other structures (</w:t>
      </w:r>
      <w:proofErr w:type="gramStart"/>
      <w:r w:rsidRPr="001E39D3">
        <w:rPr>
          <w:color w:val="auto"/>
        </w:rPr>
        <w:t>e.g.</w:t>
      </w:r>
      <w:proofErr w:type="gramEnd"/>
      <w:r w:rsidRPr="001E39D3">
        <w:rPr>
          <w:color w:val="auto"/>
        </w:rPr>
        <w:t xml:space="preserve"> faculty boards, teaching and learning committees or course advisory committees). This </w:t>
      </w:r>
      <w:r w:rsidR="00CC4700" w:rsidRPr="001E39D3">
        <w:rPr>
          <w:color w:val="auto"/>
        </w:rPr>
        <w:t>A</w:t>
      </w:r>
      <w:r w:rsidRPr="001E39D3">
        <w:rPr>
          <w:color w:val="auto"/>
        </w:rPr>
        <w:t xml:space="preserve">cademic </w:t>
      </w:r>
      <w:r w:rsidR="00CC4700" w:rsidRPr="001E39D3">
        <w:rPr>
          <w:color w:val="auto"/>
        </w:rPr>
        <w:t>B</w:t>
      </w:r>
      <w:r w:rsidRPr="001E39D3">
        <w:rPr>
          <w:color w:val="auto"/>
        </w:rPr>
        <w:t>oard will typically share information with the corporate governing body to support its assurance activities.</w:t>
      </w:r>
    </w:p>
    <w:p w14:paraId="14E51486" w14:textId="50BA4F3B" w:rsidR="0038509C" w:rsidRPr="001E39D3" w:rsidRDefault="00236348" w:rsidP="00236348">
      <w:r w:rsidRPr="001E39D3">
        <w:rPr>
          <w:color w:val="auto"/>
        </w:rPr>
        <w:t>In managing the relationship, corporate governing bodies must understand the real and perceived risks of compromising the independence and integrity of the academic governing body and take steps to avoid these risks. Actions that would create compliance risks include major shareholders or owners attending meetings of the Academic Board.</w:t>
      </w:r>
    </w:p>
    <w:p w14:paraId="59BE935F" w14:textId="73290930" w:rsidR="00F5630A" w:rsidRPr="0095119E" w:rsidRDefault="00F5630A" w:rsidP="001C2847">
      <w:pPr>
        <w:pStyle w:val="Heading2"/>
        <w:numPr>
          <w:ilvl w:val="0"/>
          <w:numId w:val="18"/>
        </w:numPr>
        <w:ind w:hanging="720"/>
        <w:rPr>
          <w:noProof/>
          <w:color w:val="004E7D"/>
        </w:rPr>
      </w:pPr>
      <w:r w:rsidRPr="0095119E">
        <w:rPr>
          <w:noProof/>
          <w:color w:val="004E7D"/>
        </w:rPr>
        <w:t>What TEQSA will look for</w:t>
      </w:r>
    </w:p>
    <w:p w14:paraId="512F9B5F" w14:textId="784666A5" w:rsidR="00DF36DA" w:rsidRPr="0095119E" w:rsidRDefault="00F5630A" w:rsidP="00F5630A">
      <w:pPr>
        <w:rPr>
          <w:noProof/>
        </w:rPr>
      </w:pPr>
      <w:r w:rsidRPr="0095119E">
        <w:rPr>
          <w:noProof/>
        </w:rPr>
        <w:t xml:space="preserve">The </w:t>
      </w:r>
      <w:r w:rsidR="002A1ACB" w:rsidRPr="0095119E">
        <w:rPr>
          <w:noProof/>
        </w:rPr>
        <w:t>Threshold Standards</w:t>
      </w:r>
      <w:r w:rsidR="00AF1591" w:rsidRPr="0095119E">
        <w:rPr>
          <w:noProof/>
        </w:rPr>
        <w:t xml:space="preserve"> places</w:t>
      </w:r>
      <w:r w:rsidRPr="0095119E">
        <w:rPr>
          <w:noProof/>
        </w:rPr>
        <w:t xml:space="preserve"> require</w:t>
      </w:r>
      <w:r w:rsidR="00AF1591" w:rsidRPr="0095119E">
        <w:rPr>
          <w:noProof/>
        </w:rPr>
        <w:t>ments on a provider’s processes</w:t>
      </w:r>
      <w:r w:rsidRPr="0095119E">
        <w:rPr>
          <w:noProof/>
        </w:rPr>
        <w:t xml:space="preserve"> </w:t>
      </w:r>
      <w:r w:rsidR="00AF1591" w:rsidRPr="0095119E">
        <w:rPr>
          <w:noProof/>
        </w:rPr>
        <w:t xml:space="preserve">and practices regarding </w:t>
      </w:r>
      <w:r w:rsidRPr="0095119E">
        <w:rPr>
          <w:noProof/>
        </w:rPr>
        <w:t xml:space="preserve">academic </w:t>
      </w:r>
      <w:r w:rsidR="00BF7F51" w:rsidRPr="0095119E">
        <w:rPr>
          <w:noProof/>
        </w:rPr>
        <w:t>governance</w:t>
      </w:r>
      <w:r w:rsidRPr="0095119E">
        <w:rPr>
          <w:noProof/>
        </w:rPr>
        <w:t xml:space="preserve">. </w:t>
      </w:r>
      <w:r w:rsidR="00AF1591" w:rsidRPr="0095119E">
        <w:rPr>
          <w:noProof/>
        </w:rPr>
        <w:t>These include the following standards and criteria from the Threshold Standards:</w:t>
      </w:r>
    </w:p>
    <w:tbl>
      <w:tblPr>
        <w:tblStyle w:val="TableGrid"/>
        <w:tblW w:w="9634" w:type="dxa"/>
        <w:tblLook w:val="04A0" w:firstRow="1" w:lastRow="0" w:firstColumn="1" w:lastColumn="0" w:noHBand="0" w:noVBand="1"/>
      </w:tblPr>
      <w:tblGrid>
        <w:gridCol w:w="4957"/>
        <w:gridCol w:w="4677"/>
      </w:tblGrid>
      <w:tr w:rsidR="00F5630A" w:rsidRPr="0095119E" w14:paraId="7B3B6171" w14:textId="77777777" w:rsidTr="00D025AF">
        <w:trPr>
          <w:trHeight w:val="295"/>
        </w:trPr>
        <w:tc>
          <w:tcPr>
            <w:tcW w:w="4957" w:type="dxa"/>
            <w:shd w:val="clear" w:color="auto" w:fill="004E7D"/>
            <w:vAlign w:val="center"/>
          </w:tcPr>
          <w:p w14:paraId="6C3AC044" w14:textId="2EF42971" w:rsidR="00F5630A" w:rsidRPr="00957725" w:rsidRDefault="00F5630A" w:rsidP="007631D8">
            <w:pPr>
              <w:rPr>
                <w:noProof/>
                <w:color w:val="FFFFFF" w:themeColor="background1"/>
                <w:sz w:val="18"/>
                <w:szCs w:val="18"/>
              </w:rPr>
            </w:pPr>
            <w:r w:rsidRPr="00957725">
              <w:rPr>
                <w:noProof/>
                <w:color w:val="FFFFFF" w:themeColor="background1"/>
                <w:sz w:val="18"/>
                <w:szCs w:val="18"/>
              </w:rPr>
              <w:t xml:space="preserve">Part A: Standards </w:t>
            </w:r>
            <w:r w:rsidR="008D50FC" w:rsidRPr="00957725">
              <w:rPr>
                <w:noProof/>
                <w:color w:val="FFFFFF" w:themeColor="background1"/>
                <w:sz w:val="18"/>
                <w:szCs w:val="18"/>
              </w:rPr>
              <w:t>for higher education providers</w:t>
            </w:r>
          </w:p>
        </w:tc>
        <w:tc>
          <w:tcPr>
            <w:tcW w:w="4677" w:type="dxa"/>
            <w:shd w:val="clear" w:color="auto" w:fill="004E7D"/>
            <w:vAlign w:val="center"/>
          </w:tcPr>
          <w:p w14:paraId="24EEE106" w14:textId="3B5E021F" w:rsidR="00F5630A" w:rsidRPr="00957725" w:rsidRDefault="00F5630A" w:rsidP="007631D8">
            <w:pPr>
              <w:rPr>
                <w:noProof/>
                <w:color w:val="FFFFFF" w:themeColor="background1"/>
                <w:sz w:val="18"/>
                <w:szCs w:val="18"/>
              </w:rPr>
            </w:pPr>
            <w:r w:rsidRPr="00957725">
              <w:rPr>
                <w:noProof/>
                <w:color w:val="FFFFFF" w:themeColor="background1"/>
                <w:sz w:val="18"/>
                <w:szCs w:val="18"/>
              </w:rPr>
              <w:t>Key considerations</w:t>
            </w:r>
          </w:p>
        </w:tc>
      </w:tr>
      <w:tr w:rsidR="00F512A0" w:rsidRPr="0095119E" w14:paraId="0A783FCA" w14:textId="77777777" w:rsidTr="00957725">
        <w:trPr>
          <w:trHeight w:val="1273"/>
        </w:trPr>
        <w:tc>
          <w:tcPr>
            <w:tcW w:w="4957" w:type="dxa"/>
            <w:vAlign w:val="center"/>
          </w:tcPr>
          <w:p w14:paraId="11E90006" w14:textId="31D03016" w:rsidR="00F512A0" w:rsidRPr="00830D33" w:rsidRDefault="0052622B" w:rsidP="00B5255B">
            <w:pPr>
              <w:rPr>
                <w:noProof/>
                <w:sz w:val="20"/>
                <w:szCs w:val="20"/>
              </w:rPr>
            </w:pPr>
            <w:r w:rsidRPr="00830D33">
              <w:rPr>
                <w:noProof/>
                <w:sz w:val="20"/>
                <w:szCs w:val="20"/>
              </w:rPr>
              <w:t>2.3</w:t>
            </w:r>
            <w:r w:rsidR="007D29EA">
              <w:rPr>
                <w:noProof/>
                <w:sz w:val="20"/>
                <w:szCs w:val="20"/>
              </w:rPr>
              <w:t>:</w:t>
            </w:r>
            <w:r w:rsidR="00283225" w:rsidRPr="00830D33">
              <w:rPr>
                <w:noProof/>
                <w:sz w:val="20"/>
                <w:szCs w:val="20"/>
              </w:rPr>
              <w:t xml:space="preserve"> Wellbeing and Safety</w:t>
            </w:r>
          </w:p>
        </w:tc>
        <w:tc>
          <w:tcPr>
            <w:tcW w:w="4677" w:type="dxa"/>
            <w:vAlign w:val="center"/>
          </w:tcPr>
          <w:p w14:paraId="0F7BAA25" w14:textId="01A5A299" w:rsidR="00F512A0" w:rsidRPr="00830D33" w:rsidRDefault="00FC625E" w:rsidP="00830D33">
            <w:pPr>
              <w:pStyle w:val="Bullet1"/>
              <w:rPr>
                <w:noProof/>
                <w:sz w:val="20"/>
                <w:szCs w:val="20"/>
              </w:rPr>
            </w:pPr>
            <w:r w:rsidRPr="00830D33">
              <w:rPr>
                <w:noProof/>
                <w:sz w:val="20"/>
                <w:szCs w:val="20"/>
              </w:rPr>
              <w:t xml:space="preserve">Academic board </w:t>
            </w:r>
            <w:r w:rsidR="004943FB" w:rsidRPr="00830D33">
              <w:rPr>
                <w:noProof/>
                <w:sz w:val="20"/>
                <w:szCs w:val="20"/>
              </w:rPr>
              <w:t>oversight of any risk to student</w:t>
            </w:r>
            <w:r w:rsidR="00C913C7" w:rsidRPr="00830D33">
              <w:rPr>
                <w:noProof/>
                <w:sz w:val="20"/>
                <w:szCs w:val="20"/>
              </w:rPr>
              <w:t>s</w:t>
            </w:r>
            <w:r w:rsidR="004943FB" w:rsidRPr="00830D33">
              <w:rPr>
                <w:noProof/>
                <w:sz w:val="20"/>
                <w:szCs w:val="20"/>
              </w:rPr>
              <w:t>, inclusive of matters relating to wellbeing and safety.</w:t>
            </w:r>
          </w:p>
          <w:p w14:paraId="32B2A532" w14:textId="516B5C4D" w:rsidR="004943FB" w:rsidRPr="00830D33" w:rsidRDefault="00C82A11" w:rsidP="00830D33">
            <w:pPr>
              <w:pStyle w:val="Bullet1"/>
              <w:rPr>
                <w:noProof/>
              </w:rPr>
            </w:pPr>
            <w:r w:rsidRPr="00830D33">
              <w:rPr>
                <w:noProof/>
                <w:sz w:val="20"/>
                <w:szCs w:val="20"/>
              </w:rPr>
              <w:t>Self-assurance</w:t>
            </w:r>
            <w:r w:rsidR="0022725F" w:rsidRPr="00830D33">
              <w:rPr>
                <w:noProof/>
                <w:sz w:val="20"/>
                <w:szCs w:val="20"/>
              </w:rPr>
              <w:t xml:space="preserve"> of curriculum</w:t>
            </w:r>
            <w:r w:rsidR="00321F24" w:rsidRPr="00830D33">
              <w:rPr>
                <w:noProof/>
                <w:sz w:val="20"/>
                <w:szCs w:val="20"/>
              </w:rPr>
              <w:t xml:space="preserve"> and assessment design</w:t>
            </w:r>
            <w:r w:rsidR="0022725F" w:rsidRPr="00830D33">
              <w:rPr>
                <w:noProof/>
                <w:sz w:val="20"/>
                <w:szCs w:val="20"/>
              </w:rPr>
              <w:t xml:space="preserve">, </w:t>
            </w:r>
            <w:r w:rsidR="00321F24" w:rsidRPr="00830D33">
              <w:rPr>
                <w:noProof/>
                <w:sz w:val="20"/>
                <w:szCs w:val="20"/>
              </w:rPr>
              <w:t xml:space="preserve">monitoring </w:t>
            </w:r>
            <w:r w:rsidR="0022725F" w:rsidRPr="00830D33">
              <w:rPr>
                <w:noProof/>
                <w:sz w:val="20"/>
                <w:szCs w:val="20"/>
              </w:rPr>
              <w:t>student progression</w:t>
            </w:r>
            <w:r w:rsidR="00321F24" w:rsidRPr="00830D33">
              <w:rPr>
                <w:noProof/>
                <w:sz w:val="20"/>
                <w:szCs w:val="20"/>
              </w:rPr>
              <w:t xml:space="preserve">, especially </w:t>
            </w:r>
            <w:r w:rsidR="006C6113" w:rsidRPr="00830D33">
              <w:rPr>
                <w:noProof/>
                <w:sz w:val="20"/>
                <w:szCs w:val="20"/>
              </w:rPr>
              <w:t xml:space="preserve">for </w:t>
            </w:r>
            <w:r w:rsidR="0022725F" w:rsidRPr="00830D33">
              <w:rPr>
                <w:noProof/>
                <w:sz w:val="20"/>
                <w:szCs w:val="20"/>
              </w:rPr>
              <w:t>vu</w:t>
            </w:r>
            <w:r w:rsidR="00321F24" w:rsidRPr="00830D33">
              <w:rPr>
                <w:noProof/>
                <w:sz w:val="20"/>
                <w:szCs w:val="20"/>
              </w:rPr>
              <w:t>nerable</w:t>
            </w:r>
            <w:r w:rsidR="006C6113" w:rsidRPr="00830D33">
              <w:rPr>
                <w:noProof/>
                <w:sz w:val="20"/>
                <w:szCs w:val="20"/>
              </w:rPr>
              <w:t xml:space="preserve"> </w:t>
            </w:r>
            <w:r w:rsidR="00321F24" w:rsidRPr="00830D33">
              <w:rPr>
                <w:noProof/>
                <w:sz w:val="20"/>
                <w:szCs w:val="20"/>
              </w:rPr>
              <w:t>cohorts</w:t>
            </w:r>
            <w:r w:rsidR="006C6113" w:rsidRPr="00830D33">
              <w:rPr>
                <w:noProof/>
                <w:sz w:val="20"/>
                <w:szCs w:val="20"/>
              </w:rPr>
              <w:t>.</w:t>
            </w:r>
          </w:p>
        </w:tc>
      </w:tr>
      <w:tr w:rsidR="00F512A0" w:rsidRPr="0095119E" w14:paraId="27092424" w14:textId="77777777" w:rsidTr="00B5255B">
        <w:trPr>
          <w:trHeight w:val="1119"/>
        </w:trPr>
        <w:tc>
          <w:tcPr>
            <w:tcW w:w="4957" w:type="dxa"/>
            <w:vAlign w:val="center"/>
          </w:tcPr>
          <w:p w14:paraId="3AE0D0AF" w14:textId="1AD19D2D" w:rsidR="00F512A0" w:rsidRPr="00830D33" w:rsidRDefault="00F512A0" w:rsidP="00B5255B">
            <w:pPr>
              <w:rPr>
                <w:noProof/>
                <w:sz w:val="20"/>
                <w:szCs w:val="20"/>
              </w:rPr>
            </w:pPr>
            <w:r w:rsidRPr="00830D33">
              <w:rPr>
                <w:noProof/>
                <w:sz w:val="20"/>
                <w:szCs w:val="20"/>
              </w:rPr>
              <w:t>3.1</w:t>
            </w:r>
            <w:r w:rsidR="007D29EA">
              <w:rPr>
                <w:noProof/>
                <w:sz w:val="20"/>
                <w:szCs w:val="20"/>
              </w:rPr>
              <w:t>:</w:t>
            </w:r>
            <w:r w:rsidRPr="00830D33">
              <w:rPr>
                <w:noProof/>
                <w:sz w:val="20"/>
                <w:szCs w:val="20"/>
              </w:rPr>
              <w:t xml:space="preserve"> Course Design</w:t>
            </w:r>
          </w:p>
        </w:tc>
        <w:tc>
          <w:tcPr>
            <w:tcW w:w="4677" w:type="dxa"/>
            <w:vAlign w:val="center"/>
          </w:tcPr>
          <w:p w14:paraId="5DB294F3" w14:textId="055D6751" w:rsidR="00F512A0" w:rsidRPr="00830D33" w:rsidRDefault="00F512A0" w:rsidP="00830D33">
            <w:pPr>
              <w:pStyle w:val="Bullet1"/>
              <w:rPr>
                <w:noProof/>
                <w:sz w:val="20"/>
                <w:szCs w:val="20"/>
              </w:rPr>
            </w:pPr>
            <w:r w:rsidRPr="00830D33">
              <w:rPr>
                <w:noProof/>
                <w:sz w:val="20"/>
                <w:szCs w:val="20"/>
              </w:rPr>
              <w:t>Academic governance quality assures and/or approves courses of study that are compliant with the Threshold Standards, AQF and professional association accreditation requirements.</w:t>
            </w:r>
          </w:p>
        </w:tc>
      </w:tr>
      <w:tr w:rsidR="00B16910" w:rsidRPr="0095119E" w14:paraId="3627F741" w14:textId="77777777" w:rsidTr="00957725">
        <w:trPr>
          <w:trHeight w:val="557"/>
        </w:trPr>
        <w:tc>
          <w:tcPr>
            <w:tcW w:w="4957" w:type="dxa"/>
            <w:vAlign w:val="center"/>
          </w:tcPr>
          <w:p w14:paraId="0A4A5BC9" w14:textId="76879160" w:rsidR="00B16910" w:rsidRPr="00830D33" w:rsidRDefault="00B16910" w:rsidP="00B5255B">
            <w:pPr>
              <w:rPr>
                <w:noProof/>
                <w:sz w:val="20"/>
                <w:szCs w:val="20"/>
              </w:rPr>
            </w:pPr>
            <w:r w:rsidRPr="00830D33">
              <w:rPr>
                <w:noProof/>
                <w:sz w:val="20"/>
                <w:szCs w:val="20"/>
              </w:rPr>
              <w:t>3.2</w:t>
            </w:r>
            <w:r w:rsidR="007D29EA">
              <w:rPr>
                <w:noProof/>
                <w:sz w:val="20"/>
                <w:szCs w:val="20"/>
              </w:rPr>
              <w:t>:</w:t>
            </w:r>
            <w:r w:rsidRPr="00830D33">
              <w:rPr>
                <w:noProof/>
                <w:sz w:val="20"/>
                <w:szCs w:val="20"/>
              </w:rPr>
              <w:t xml:space="preserve"> Staffing</w:t>
            </w:r>
          </w:p>
        </w:tc>
        <w:tc>
          <w:tcPr>
            <w:tcW w:w="4677" w:type="dxa"/>
            <w:vAlign w:val="center"/>
          </w:tcPr>
          <w:p w14:paraId="1002E233" w14:textId="77777777" w:rsidR="0039172E" w:rsidRPr="00830D33" w:rsidRDefault="00B16910" w:rsidP="00830D33">
            <w:pPr>
              <w:pStyle w:val="Bullet1"/>
              <w:rPr>
                <w:noProof/>
                <w:sz w:val="20"/>
                <w:szCs w:val="20"/>
              </w:rPr>
            </w:pPr>
            <w:r w:rsidRPr="00830D33">
              <w:rPr>
                <w:noProof/>
                <w:sz w:val="20"/>
                <w:szCs w:val="20"/>
              </w:rPr>
              <w:t>There is sufficient academic oversight of scholarship and staff qualifications.</w:t>
            </w:r>
          </w:p>
          <w:p w14:paraId="61AFF3C7" w14:textId="12809325" w:rsidR="0039172E" w:rsidRPr="00830D33" w:rsidRDefault="00B753E5" w:rsidP="00830D33">
            <w:pPr>
              <w:pStyle w:val="Bullet1"/>
              <w:rPr>
                <w:noProof/>
              </w:rPr>
            </w:pPr>
            <w:r w:rsidRPr="00830D33">
              <w:rPr>
                <w:noProof/>
                <w:sz w:val="20"/>
                <w:szCs w:val="20"/>
              </w:rPr>
              <w:t>Sufficient oversight of cas</w:t>
            </w:r>
            <w:r w:rsidR="007324AB" w:rsidRPr="00830D33">
              <w:rPr>
                <w:noProof/>
                <w:sz w:val="20"/>
                <w:szCs w:val="20"/>
              </w:rPr>
              <w:t xml:space="preserve">ual staff </w:t>
            </w:r>
            <w:r w:rsidRPr="00830D33">
              <w:rPr>
                <w:noProof/>
                <w:sz w:val="20"/>
                <w:szCs w:val="20"/>
              </w:rPr>
              <w:t xml:space="preserve"> </w:t>
            </w:r>
          </w:p>
        </w:tc>
      </w:tr>
      <w:tr w:rsidR="00B16910" w:rsidRPr="0095119E" w14:paraId="1195CDB3" w14:textId="77777777" w:rsidTr="00B5255B">
        <w:trPr>
          <w:trHeight w:val="654"/>
        </w:trPr>
        <w:tc>
          <w:tcPr>
            <w:tcW w:w="4957" w:type="dxa"/>
            <w:vAlign w:val="center"/>
          </w:tcPr>
          <w:p w14:paraId="4C17C16D" w14:textId="06CA163F" w:rsidR="00B16910" w:rsidRPr="00830D33" w:rsidRDefault="00B16910" w:rsidP="00B5255B">
            <w:pPr>
              <w:rPr>
                <w:noProof/>
                <w:sz w:val="20"/>
                <w:szCs w:val="20"/>
              </w:rPr>
            </w:pPr>
            <w:r w:rsidRPr="00830D33">
              <w:rPr>
                <w:noProof/>
                <w:sz w:val="20"/>
                <w:szCs w:val="20"/>
              </w:rPr>
              <w:t>4.1 and 4.2 (if applicable): Research and Research Training</w:t>
            </w:r>
          </w:p>
        </w:tc>
        <w:tc>
          <w:tcPr>
            <w:tcW w:w="4677" w:type="dxa"/>
            <w:vAlign w:val="center"/>
          </w:tcPr>
          <w:p w14:paraId="46645175" w14:textId="49E0FB66" w:rsidR="00B16910" w:rsidRPr="00830D33" w:rsidRDefault="00B16910" w:rsidP="00830D33">
            <w:pPr>
              <w:pStyle w:val="Bullet1"/>
              <w:rPr>
                <w:noProof/>
              </w:rPr>
            </w:pPr>
            <w:r w:rsidRPr="00830D33">
              <w:rPr>
                <w:noProof/>
                <w:sz w:val="20"/>
                <w:szCs w:val="20"/>
              </w:rPr>
              <w:t>Academic governance ensures research and research training are conducted and monitored in accordance with institutional and sector research codes</w:t>
            </w:r>
            <w:r w:rsidR="007D29EA">
              <w:rPr>
                <w:noProof/>
                <w:sz w:val="20"/>
                <w:szCs w:val="20"/>
              </w:rPr>
              <w:t>.</w:t>
            </w:r>
          </w:p>
        </w:tc>
      </w:tr>
      <w:tr w:rsidR="00B16910" w:rsidRPr="0095119E" w14:paraId="12672FCE" w14:textId="77777777" w:rsidTr="007D29EA">
        <w:trPr>
          <w:trHeight w:val="784"/>
        </w:trPr>
        <w:tc>
          <w:tcPr>
            <w:tcW w:w="4957" w:type="dxa"/>
            <w:vAlign w:val="center"/>
          </w:tcPr>
          <w:p w14:paraId="3DE7CABF" w14:textId="0DF0D974" w:rsidR="00B16910" w:rsidRPr="00830D33" w:rsidRDefault="00B16910" w:rsidP="00B5255B">
            <w:pPr>
              <w:rPr>
                <w:noProof/>
                <w:sz w:val="20"/>
                <w:szCs w:val="20"/>
              </w:rPr>
            </w:pPr>
            <w:r w:rsidRPr="00830D33">
              <w:rPr>
                <w:noProof/>
                <w:sz w:val="20"/>
                <w:szCs w:val="20"/>
              </w:rPr>
              <w:t>5.1 to 5.4: Institutional Quality Assurance</w:t>
            </w:r>
          </w:p>
        </w:tc>
        <w:tc>
          <w:tcPr>
            <w:tcW w:w="4677" w:type="dxa"/>
            <w:vAlign w:val="center"/>
          </w:tcPr>
          <w:p w14:paraId="0059DC5B" w14:textId="7F6DA69F" w:rsidR="00B16910" w:rsidRPr="00830D33" w:rsidRDefault="00B16910" w:rsidP="00830D33">
            <w:pPr>
              <w:pStyle w:val="Bullet1"/>
              <w:rPr>
                <w:noProof/>
              </w:rPr>
            </w:pPr>
            <w:r w:rsidRPr="00830D33">
              <w:rPr>
                <w:noProof/>
                <w:sz w:val="20"/>
                <w:szCs w:val="20"/>
              </w:rPr>
              <w:t>Systematic monitoring at all levels ensures delivery of  high quality courses, and research and research training (if applicable) at all delivery sites, and across modes and cohorts</w:t>
            </w:r>
            <w:r w:rsidR="007D29EA">
              <w:rPr>
                <w:noProof/>
                <w:sz w:val="20"/>
                <w:szCs w:val="20"/>
              </w:rPr>
              <w:t>.</w:t>
            </w:r>
          </w:p>
        </w:tc>
      </w:tr>
      <w:tr w:rsidR="000919DF" w:rsidRPr="0095119E" w14:paraId="71534B29" w14:textId="77777777" w:rsidTr="00957725">
        <w:trPr>
          <w:trHeight w:val="770"/>
        </w:trPr>
        <w:tc>
          <w:tcPr>
            <w:tcW w:w="4957" w:type="dxa"/>
            <w:vAlign w:val="center"/>
          </w:tcPr>
          <w:p w14:paraId="50493384" w14:textId="152FC444" w:rsidR="000919DF" w:rsidRPr="00830D33" w:rsidRDefault="000919DF" w:rsidP="00B5255B">
            <w:pPr>
              <w:rPr>
                <w:noProof/>
                <w:sz w:val="20"/>
                <w:szCs w:val="20"/>
              </w:rPr>
            </w:pPr>
            <w:r w:rsidRPr="00830D33">
              <w:rPr>
                <w:noProof/>
                <w:sz w:val="20"/>
                <w:szCs w:val="20"/>
              </w:rPr>
              <w:lastRenderedPageBreak/>
              <w:t>6.1: Corporate Governance</w:t>
            </w:r>
          </w:p>
        </w:tc>
        <w:tc>
          <w:tcPr>
            <w:tcW w:w="4677" w:type="dxa"/>
            <w:vMerge w:val="restart"/>
            <w:vAlign w:val="center"/>
          </w:tcPr>
          <w:p w14:paraId="376A2E5E" w14:textId="6B509D78" w:rsidR="000919DF" w:rsidRPr="00830D33" w:rsidRDefault="000919DF" w:rsidP="00830D33">
            <w:pPr>
              <w:pStyle w:val="Bullet1"/>
              <w:rPr>
                <w:noProof/>
                <w:sz w:val="20"/>
                <w:szCs w:val="20"/>
              </w:rPr>
            </w:pPr>
            <w:r w:rsidRPr="00830D33">
              <w:rPr>
                <w:noProof/>
                <w:sz w:val="20"/>
                <w:szCs w:val="20"/>
              </w:rPr>
              <w:t>Academic governance is closely linked to corporate governance.</w:t>
            </w:r>
          </w:p>
          <w:p w14:paraId="23110C31" w14:textId="0AC2C77D" w:rsidR="000919DF" w:rsidRPr="00830D33" w:rsidRDefault="00877909" w:rsidP="00830D33">
            <w:pPr>
              <w:pStyle w:val="Bullet1"/>
              <w:rPr>
                <w:noProof/>
                <w:sz w:val="20"/>
                <w:szCs w:val="20"/>
              </w:rPr>
            </w:pPr>
            <w:r w:rsidRPr="00830D33">
              <w:rPr>
                <w:noProof/>
                <w:sz w:val="20"/>
                <w:szCs w:val="20"/>
              </w:rPr>
              <w:t>Policies, s</w:t>
            </w:r>
            <w:r w:rsidR="000919DF" w:rsidRPr="00830D33">
              <w:rPr>
                <w:noProof/>
                <w:sz w:val="20"/>
                <w:szCs w:val="20"/>
              </w:rPr>
              <w:t xml:space="preserve">ystems, processes demonstrate the ability to </w:t>
            </w:r>
            <w:r w:rsidRPr="00830D33">
              <w:rPr>
                <w:noProof/>
                <w:sz w:val="20"/>
                <w:szCs w:val="20"/>
              </w:rPr>
              <w:t xml:space="preserve">identify risk, </w:t>
            </w:r>
            <w:r w:rsidR="000919DF" w:rsidRPr="00830D33">
              <w:rPr>
                <w:noProof/>
                <w:sz w:val="20"/>
                <w:szCs w:val="20"/>
              </w:rPr>
              <w:t>self-assure and continuously improve.</w:t>
            </w:r>
          </w:p>
          <w:p w14:paraId="4FA2AB2F" w14:textId="655DB3B5" w:rsidR="000919DF" w:rsidRPr="00830D33" w:rsidRDefault="00EA401A" w:rsidP="00830D33">
            <w:pPr>
              <w:pStyle w:val="Bullet1"/>
              <w:rPr>
                <w:noProof/>
                <w:sz w:val="20"/>
                <w:szCs w:val="20"/>
              </w:rPr>
            </w:pPr>
            <w:r w:rsidRPr="00830D33">
              <w:rPr>
                <w:noProof/>
                <w:sz w:val="20"/>
                <w:szCs w:val="20"/>
              </w:rPr>
              <w:t>A</w:t>
            </w:r>
            <w:r w:rsidR="000919DF" w:rsidRPr="00830D33">
              <w:rPr>
                <w:noProof/>
                <w:sz w:val="20"/>
                <w:szCs w:val="20"/>
              </w:rPr>
              <w:t xml:space="preserve">cademic board </w:t>
            </w:r>
            <w:r w:rsidR="00FA4D2A" w:rsidRPr="00830D33">
              <w:rPr>
                <w:noProof/>
                <w:sz w:val="20"/>
                <w:szCs w:val="20"/>
              </w:rPr>
              <w:t>can evidence</w:t>
            </w:r>
            <w:r w:rsidR="003F0A84" w:rsidRPr="00830D33">
              <w:rPr>
                <w:noProof/>
                <w:sz w:val="20"/>
                <w:szCs w:val="20"/>
              </w:rPr>
              <w:t xml:space="preserve"> its</w:t>
            </w:r>
            <w:r w:rsidR="00FA4D2A" w:rsidRPr="00830D33">
              <w:rPr>
                <w:noProof/>
                <w:sz w:val="20"/>
                <w:szCs w:val="20"/>
              </w:rPr>
              <w:t xml:space="preserve"> </w:t>
            </w:r>
            <w:r w:rsidR="000919DF" w:rsidRPr="00830D33">
              <w:rPr>
                <w:noProof/>
                <w:sz w:val="20"/>
                <w:szCs w:val="20"/>
              </w:rPr>
              <w:t>self-assurance and improvement activities are successful.</w:t>
            </w:r>
          </w:p>
          <w:p w14:paraId="234A3801" w14:textId="3FE0E774" w:rsidR="00EA401A" w:rsidRPr="00830D33" w:rsidRDefault="00ED452E" w:rsidP="00830D33">
            <w:pPr>
              <w:pStyle w:val="Bullet1"/>
              <w:rPr>
                <w:noProof/>
              </w:rPr>
            </w:pPr>
            <w:r w:rsidRPr="00830D33">
              <w:rPr>
                <w:noProof/>
                <w:sz w:val="20"/>
                <w:szCs w:val="20"/>
              </w:rPr>
              <w:t xml:space="preserve">Corporate governance </w:t>
            </w:r>
            <w:r w:rsidR="00C8763F" w:rsidRPr="00830D33">
              <w:rPr>
                <w:noProof/>
                <w:sz w:val="20"/>
                <w:szCs w:val="20"/>
              </w:rPr>
              <w:t>assures itself of effective and sustainable operations</w:t>
            </w:r>
            <w:r w:rsidR="00F0304C" w:rsidRPr="00830D33">
              <w:rPr>
                <w:noProof/>
                <w:sz w:val="20"/>
                <w:szCs w:val="20"/>
              </w:rPr>
              <w:t>.</w:t>
            </w:r>
          </w:p>
        </w:tc>
      </w:tr>
      <w:tr w:rsidR="000919DF" w:rsidRPr="0095119E" w14:paraId="0FDE0918" w14:textId="77777777" w:rsidTr="00957725">
        <w:trPr>
          <w:trHeight w:val="820"/>
        </w:trPr>
        <w:tc>
          <w:tcPr>
            <w:tcW w:w="4957" w:type="dxa"/>
            <w:vAlign w:val="center"/>
          </w:tcPr>
          <w:p w14:paraId="2D0514BC" w14:textId="7A23D1DF" w:rsidR="000919DF" w:rsidRPr="00830D33" w:rsidRDefault="000919DF" w:rsidP="00B5255B">
            <w:pPr>
              <w:rPr>
                <w:noProof/>
                <w:sz w:val="20"/>
                <w:szCs w:val="20"/>
              </w:rPr>
            </w:pPr>
            <w:r w:rsidRPr="00830D33">
              <w:rPr>
                <w:noProof/>
                <w:sz w:val="20"/>
                <w:szCs w:val="20"/>
              </w:rPr>
              <w:t>6.2: Corporate Monitoring and Accountability</w:t>
            </w:r>
          </w:p>
        </w:tc>
        <w:tc>
          <w:tcPr>
            <w:tcW w:w="4677" w:type="dxa"/>
            <w:vMerge/>
            <w:vAlign w:val="center"/>
          </w:tcPr>
          <w:p w14:paraId="36F92A71" w14:textId="1F64742E" w:rsidR="000919DF" w:rsidRPr="00830D33" w:rsidRDefault="000919DF" w:rsidP="00B5255B">
            <w:pPr>
              <w:rPr>
                <w:noProof/>
                <w:sz w:val="20"/>
                <w:szCs w:val="20"/>
              </w:rPr>
            </w:pPr>
          </w:p>
        </w:tc>
      </w:tr>
      <w:tr w:rsidR="000919DF" w:rsidRPr="0095119E" w14:paraId="1F4D3468" w14:textId="77777777" w:rsidTr="00957725">
        <w:trPr>
          <w:trHeight w:val="740"/>
        </w:trPr>
        <w:tc>
          <w:tcPr>
            <w:tcW w:w="4957" w:type="dxa"/>
            <w:vAlign w:val="center"/>
          </w:tcPr>
          <w:p w14:paraId="78CA0D2F" w14:textId="294BBEE8" w:rsidR="000919DF" w:rsidRPr="00830D33" w:rsidRDefault="000919DF" w:rsidP="00B5255B">
            <w:pPr>
              <w:rPr>
                <w:noProof/>
                <w:sz w:val="20"/>
                <w:szCs w:val="20"/>
              </w:rPr>
            </w:pPr>
            <w:r w:rsidRPr="00830D33">
              <w:rPr>
                <w:noProof/>
                <w:sz w:val="20"/>
                <w:szCs w:val="20"/>
              </w:rPr>
              <w:t>6.3: Academic Governance</w:t>
            </w:r>
          </w:p>
        </w:tc>
        <w:tc>
          <w:tcPr>
            <w:tcW w:w="4677" w:type="dxa"/>
            <w:vMerge/>
            <w:vAlign w:val="center"/>
          </w:tcPr>
          <w:p w14:paraId="7A68BDFB" w14:textId="4C7F0B63" w:rsidR="000919DF" w:rsidRPr="00830D33" w:rsidRDefault="000919DF" w:rsidP="00B5255B">
            <w:pPr>
              <w:rPr>
                <w:noProof/>
                <w:sz w:val="20"/>
                <w:szCs w:val="20"/>
              </w:rPr>
            </w:pPr>
          </w:p>
        </w:tc>
      </w:tr>
      <w:tr w:rsidR="00B16910" w:rsidRPr="0095119E" w14:paraId="69BF6D81" w14:textId="77777777" w:rsidTr="00B5255B">
        <w:trPr>
          <w:trHeight w:val="1347"/>
        </w:trPr>
        <w:tc>
          <w:tcPr>
            <w:tcW w:w="4957" w:type="dxa"/>
            <w:vAlign w:val="center"/>
          </w:tcPr>
          <w:p w14:paraId="481BACBB" w14:textId="0017A66F" w:rsidR="00B16910" w:rsidRPr="00830D33" w:rsidRDefault="00B16910" w:rsidP="00B5255B">
            <w:pPr>
              <w:rPr>
                <w:noProof/>
                <w:sz w:val="20"/>
                <w:szCs w:val="20"/>
              </w:rPr>
            </w:pPr>
            <w:r w:rsidRPr="00830D33">
              <w:rPr>
                <w:noProof/>
                <w:sz w:val="20"/>
                <w:szCs w:val="20"/>
              </w:rPr>
              <w:t>7.2 and 7.3: Information for Prospective Students and Current Students and Information Management</w:t>
            </w:r>
          </w:p>
        </w:tc>
        <w:tc>
          <w:tcPr>
            <w:tcW w:w="4677" w:type="dxa"/>
            <w:vAlign w:val="center"/>
          </w:tcPr>
          <w:p w14:paraId="68BE5B3F" w14:textId="5C5EDD4B" w:rsidR="00B16910" w:rsidRPr="00830D33" w:rsidRDefault="00B16910" w:rsidP="00830D33">
            <w:pPr>
              <w:pStyle w:val="Bullet1"/>
              <w:rPr>
                <w:noProof/>
              </w:rPr>
            </w:pPr>
            <w:r w:rsidRPr="00830D33">
              <w:rPr>
                <w:noProof/>
                <w:sz w:val="20"/>
                <w:szCs w:val="20"/>
              </w:rPr>
              <w:t>Information management and dissemination ensures all students have access to relevant information on a large variety of topics pertinent to them, such as relevant course information, policies and how they can participate in academic governance.</w:t>
            </w:r>
          </w:p>
        </w:tc>
      </w:tr>
      <w:tr w:rsidR="00B16910" w:rsidRPr="0095119E" w14:paraId="49AD9A2C" w14:textId="77777777" w:rsidTr="00D025AF">
        <w:trPr>
          <w:trHeight w:val="295"/>
        </w:trPr>
        <w:tc>
          <w:tcPr>
            <w:tcW w:w="4957" w:type="dxa"/>
            <w:shd w:val="clear" w:color="auto" w:fill="004E7D"/>
            <w:vAlign w:val="center"/>
          </w:tcPr>
          <w:p w14:paraId="363BA858" w14:textId="67E6A499" w:rsidR="00B16910" w:rsidRPr="0095119E" w:rsidRDefault="00B16910" w:rsidP="00B16910">
            <w:pPr>
              <w:rPr>
                <w:noProof/>
                <w:color w:val="FFFFFF" w:themeColor="background1"/>
                <w:sz w:val="20"/>
                <w:szCs w:val="20"/>
              </w:rPr>
            </w:pPr>
            <w:r w:rsidRPr="0095119E">
              <w:rPr>
                <w:noProof/>
                <w:color w:val="FFFFFF" w:themeColor="background1"/>
                <w:sz w:val="20"/>
                <w:szCs w:val="20"/>
              </w:rPr>
              <w:t>Part B: Criteria for higher education providers</w:t>
            </w:r>
          </w:p>
        </w:tc>
        <w:tc>
          <w:tcPr>
            <w:tcW w:w="4677" w:type="dxa"/>
            <w:shd w:val="clear" w:color="auto" w:fill="004E7D"/>
            <w:vAlign w:val="center"/>
          </w:tcPr>
          <w:p w14:paraId="29B6176E" w14:textId="355E9B75" w:rsidR="00B16910" w:rsidRPr="0095119E" w:rsidRDefault="00B16910" w:rsidP="00B16910">
            <w:pPr>
              <w:rPr>
                <w:noProof/>
                <w:color w:val="FFFFFF" w:themeColor="background1"/>
                <w:sz w:val="20"/>
                <w:szCs w:val="20"/>
              </w:rPr>
            </w:pPr>
            <w:r w:rsidRPr="0095119E">
              <w:rPr>
                <w:noProof/>
                <w:color w:val="FFFFFF" w:themeColor="background1"/>
                <w:sz w:val="20"/>
                <w:szCs w:val="20"/>
              </w:rPr>
              <w:t>Key considerations</w:t>
            </w:r>
          </w:p>
        </w:tc>
      </w:tr>
      <w:tr w:rsidR="00B16910" w:rsidRPr="0095119E" w14:paraId="0FA60FA1" w14:textId="77777777" w:rsidTr="00B5255B">
        <w:trPr>
          <w:trHeight w:val="523"/>
        </w:trPr>
        <w:tc>
          <w:tcPr>
            <w:tcW w:w="4957" w:type="dxa"/>
            <w:vAlign w:val="center"/>
          </w:tcPr>
          <w:p w14:paraId="24006134" w14:textId="0C69FCC0" w:rsidR="00B16910" w:rsidRPr="0095119E" w:rsidRDefault="00B16910" w:rsidP="00B16910">
            <w:pPr>
              <w:rPr>
                <w:noProof/>
                <w:sz w:val="20"/>
                <w:szCs w:val="20"/>
              </w:rPr>
            </w:pPr>
            <w:r w:rsidRPr="0095119E">
              <w:rPr>
                <w:noProof/>
                <w:sz w:val="20"/>
                <w:szCs w:val="20"/>
              </w:rPr>
              <w:t xml:space="preserve">B1.1.2, B1.2.6, B1.3.9 Scholarship </w:t>
            </w:r>
          </w:p>
        </w:tc>
        <w:tc>
          <w:tcPr>
            <w:tcW w:w="4677" w:type="dxa"/>
            <w:vAlign w:val="center"/>
          </w:tcPr>
          <w:p w14:paraId="69A23A5E" w14:textId="2C9E1DEB" w:rsidR="00B16910" w:rsidRPr="0095119E" w:rsidRDefault="00B16910" w:rsidP="00B16910">
            <w:pPr>
              <w:rPr>
                <w:noProof/>
                <w:sz w:val="20"/>
                <w:szCs w:val="20"/>
              </w:rPr>
            </w:pPr>
            <w:r w:rsidRPr="0095119E">
              <w:rPr>
                <w:noProof/>
                <w:sz w:val="20"/>
                <w:szCs w:val="20"/>
              </w:rPr>
              <w:t>There is requisite support for scholarship, with this informing teaching</w:t>
            </w:r>
            <w:r w:rsidR="007D29EA">
              <w:rPr>
                <w:noProof/>
                <w:sz w:val="20"/>
                <w:szCs w:val="20"/>
              </w:rPr>
              <w:t>.</w:t>
            </w:r>
          </w:p>
        </w:tc>
      </w:tr>
      <w:tr w:rsidR="00B16910" w:rsidRPr="0095119E" w14:paraId="0179A7D5" w14:textId="77777777" w:rsidTr="00B5255B">
        <w:trPr>
          <w:trHeight w:val="545"/>
        </w:trPr>
        <w:tc>
          <w:tcPr>
            <w:tcW w:w="4957" w:type="dxa"/>
            <w:vAlign w:val="center"/>
          </w:tcPr>
          <w:p w14:paraId="4B46F6CE" w14:textId="3328425D" w:rsidR="00B16910" w:rsidRPr="0095119E" w:rsidRDefault="00B16910" w:rsidP="00B16910">
            <w:pPr>
              <w:rPr>
                <w:noProof/>
                <w:sz w:val="20"/>
                <w:szCs w:val="20"/>
              </w:rPr>
            </w:pPr>
            <w:r w:rsidRPr="0095119E">
              <w:rPr>
                <w:noProof/>
                <w:sz w:val="20"/>
                <w:szCs w:val="20"/>
              </w:rPr>
              <w:t>B1.3.11: Capacity of academic governance</w:t>
            </w:r>
          </w:p>
        </w:tc>
        <w:tc>
          <w:tcPr>
            <w:tcW w:w="4677" w:type="dxa"/>
            <w:vAlign w:val="center"/>
          </w:tcPr>
          <w:p w14:paraId="7C7722A9" w14:textId="48EE9976" w:rsidR="00B16910" w:rsidRPr="0095119E" w:rsidRDefault="00B16910" w:rsidP="00B16910">
            <w:pPr>
              <w:rPr>
                <w:noProof/>
                <w:sz w:val="20"/>
                <w:szCs w:val="20"/>
              </w:rPr>
            </w:pPr>
            <w:r w:rsidRPr="0095119E">
              <w:rPr>
                <w:noProof/>
                <w:sz w:val="20"/>
                <w:szCs w:val="20"/>
              </w:rPr>
              <w:t>Sufficient capacity to provide systematic and effective academic governance</w:t>
            </w:r>
            <w:r w:rsidR="007D29EA">
              <w:rPr>
                <w:noProof/>
                <w:sz w:val="20"/>
                <w:szCs w:val="20"/>
              </w:rPr>
              <w:t>.</w:t>
            </w:r>
          </w:p>
        </w:tc>
      </w:tr>
    </w:tbl>
    <w:p w14:paraId="4E1E60E3" w14:textId="11BE2191" w:rsidR="002C533B" w:rsidRPr="0095119E" w:rsidRDefault="002C533B" w:rsidP="002C533B">
      <w:pPr>
        <w:rPr>
          <w:noProof/>
        </w:rPr>
      </w:pPr>
      <w:r w:rsidRPr="0095119E">
        <w:rPr>
          <w:noProof/>
        </w:rPr>
        <w:t xml:space="preserve">Academic governance arrangements </w:t>
      </w:r>
      <w:r w:rsidR="002B6BA2" w:rsidRPr="0095119E">
        <w:rPr>
          <w:noProof/>
        </w:rPr>
        <w:t>should</w:t>
      </w:r>
      <w:r w:rsidRPr="0095119E">
        <w:rPr>
          <w:noProof/>
        </w:rPr>
        <w:t xml:space="preserve"> also </w:t>
      </w:r>
      <w:r w:rsidR="005B253C" w:rsidRPr="0095119E">
        <w:rPr>
          <w:noProof/>
        </w:rPr>
        <w:t>have</w:t>
      </w:r>
      <w:r w:rsidRPr="0095119E">
        <w:rPr>
          <w:noProof/>
        </w:rPr>
        <w:t xml:space="preserve"> </w:t>
      </w:r>
      <w:r w:rsidR="008D50FC" w:rsidRPr="0095119E">
        <w:rPr>
          <w:noProof/>
        </w:rPr>
        <w:t>oversight and monitoring of</w:t>
      </w:r>
      <w:r w:rsidRPr="0095119E">
        <w:rPr>
          <w:noProof/>
        </w:rPr>
        <w:t xml:space="preserve"> other standards, including those relating to:</w:t>
      </w:r>
    </w:p>
    <w:p w14:paraId="7E77D06F" w14:textId="3832CF06" w:rsidR="002C533B" w:rsidRPr="0095119E" w:rsidRDefault="00AB0A51" w:rsidP="0021773C">
      <w:pPr>
        <w:pStyle w:val="Bullet1"/>
        <w:rPr>
          <w:noProof/>
        </w:rPr>
      </w:pPr>
      <w:r w:rsidRPr="0095119E">
        <w:rPr>
          <w:noProof/>
        </w:rPr>
        <w:t xml:space="preserve">2.1 </w:t>
      </w:r>
      <w:r w:rsidR="002C533B" w:rsidRPr="0095119E">
        <w:rPr>
          <w:noProof/>
        </w:rPr>
        <w:t>facilities and infrastructure</w:t>
      </w:r>
      <w:r w:rsidRPr="0095119E">
        <w:rPr>
          <w:noProof/>
        </w:rPr>
        <w:t xml:space="preserve"> </w:t>
      </w:r>
    </w:p>
    <w:p w14:paraId="558428B6" w14:textId="320AED5D" w:rsidR="002C533B" w:rsidRPr="0095119E" w:rsidRDefault="00AB0A51" w:rsidP="0021773C">
      <w:pPr>
        <w:pStyle w:val="Bullet1"/>
        <w:rPr>
          <w:noProof/>
        </w:rPr>
      </w:pPr>
      <w:r w:rsidRPr="0095119E">
        <w:rPr>
          <w:noProof/>
        </w:rPr>
        <w:t xml:space="preserve">2.2 </w:t>
      </w:r>
      <w:r w:rsidR="002C533B" w:rsidRPr="0095119E">
        <w:rPr>
          <w:noProof/>
        </w:rPr>
        <w:t>diversity and equity</w:t>
      </w:r>
    </w:p>
    <w:p w14:paraId="5B9F188A" w14:textId="515BD203" w:rsidR="006C2A2B" w:rsidRDefault="00AB0A51" w:rsidP="0021773C">
      <w:pPr>
        <w:pStyle w:val="Bullet1"/>
        <w:rPr>
          <w:noProof/>
        </w:rPr>
      </w:pPr>
      <w:r w:rsidRPr="0095119E">
        <w:rPr>
          <w:noProof/>
        </w:rPr>
        <w:t xml:space="preserve">3.3 </w:t>
      </w:r>
      <w:r w:rsidR="002C533B" w:rsidRPr="0095119E">
        <w:rPr>
          <w:noProof/>
        </w:rPr>
        <w:t>learning resources and educational support</w:t>
      </w:r>
    </w:p>
    <w:p w14:paraId="014F6ECA" w14:textId="4A94AAEF" w:rsidR="00A75059" w:rsidRDefault="000231E2" w:rsidP="000231E2">
      <w:pPr>
        <w:pStyle w:val="Bullet1"/>
        <w:rPr>
          <w:noProof/>
        </w:rPr>
      </w:pPr>
      <w:r>
        <w:rPr>
          <w:noProof/>
        </w:rPr>
        <w:t>4.1</w:t>
      </w:r>
      <w:r w:rsidR="00A75059">
        <w:rPr>
          <w:noProof/>
        </w:rPr>
        <w:t xml:space="preserve"> research, and</w:t>
      </w:r>
    </w:p>
    <w:p w14:paraId="4EE23B16" w14:textId="446E779A" w:rsidR="00DD7545" w:rsidRPr="0095119E" w:rsidRDefault="000231E2" w:rsidP="000231E2">
      <w:pPr>
        <w:pStyle w:val="Bullet1"/>
        <w:rPr>
          <w:noProof/>
        </w:rPr>
      </w:pPr>
      <w:r>
        <w:rPr>
          <w:noProof/>
        </w:rPr>
        <w:t xml:space="preserve">4.2 research training. </w:t>
      </w:r>
      <w:r w:rsidR="002C533B" w:rsidRPr="0095119E">
        <w:rPr>
          <w:noProof/>
        </w:rPr>
        <w:t xml:space="preserve"> </w:t>
      </w:r>
    </w:p>
    <w:p w14:paraId="425B1051" w14:textId="767DA579" w:rsidR="00E06070" w:rsidRPr="0095119E" w:rsidRDefault="002C533B" w:rsidP="00E06070">
      <w:pPr>
        <w:rPr>
          <w:noProof/>
        </w:rPr>
      </w:pPr>
      <w:r w:rsidRPr="0095119E">
        <w:rPr>
          <w:noProof/>
        </w:rPr>
        <w:t>The effectiveness of a provider’s academic governance also has a</w:t>
      </w:r>
      <w:r w:rsidR="0007069C" w:rsidRPr="0095119E">
        <w:rPr>
          <w:noProof/>
        </w:rPr>
        <w:t xml:space="preserve">n impact </w:t>
      </w:r>
      <w:r w:rsidRPr="0095119E">
        <w:rPr>
          <w:noProof/>
        </w:rPr>
        <w:t xml:space="preserve">on </w:t>
      </w:r>
      <w:r w:rsidR="00D75ACE" w:rsidRPr="0095119E">
        <w:rPr>
          <w:noProof/>
        </w:rPr>
        <w:t xml:space="preserve">assessments of </w:t>
      </w:r>
      <w:r w:rsidRPr="0095119E">
        <w:rPr>
          <w:noProof/>
        </w:rPr>
        <w:t xml:space="preserve">applications for </w:t>
      </w:r>
      <w:r w:rsidR="00847840" w:rsidRPr="0095119E">
        <w:rPr>
          <w:noProof/>
        </w:rPr>
        <w:t>changes</w:t>
      </w:r>
      <w:r w:rsidR="00C425AE" w:rsidRPr="0095119E">
        <w:rPr>
          <w:noProof/>
        </w:rPr>
        <w:t xml:space="preserve"> in provider categories (Part B1 – Criteria for Higher Education Provider Categories) and </w:t>
      </w:r>
      <w:r w:rsidRPr="0095119E">
        <w:rPr>
          <w:noProof/>
        </w:rPr>
        <w:t>self-accrediting authority (Part B2 – Criteria for Seeking Authority for Self-Accreditation of Courses of Study)</w:t>
      </w:r>
      <w:r w:rsidR="00847840" w:rsidRPr="0095119E">
        <w:rPr>
          <w:noProof/>
        </w:rPr>
        <w:t>,</w:t>
      </w:r>
      <w:r w:rsidRPr="0095119E">
        <w:rPr>
          <w:noProof/>
        </w:rPr>
        <w:t xml:space="preserve"> and for course accreditation.</w:t>
      </w:r>
    </w:p>
    <w:p w14:paraId="6FFFD78A" w14:textId="7F903BE8" w:rsidR="009F6E2C" w:rsidRPr="0095119E" w:rsidRDefault="00BF7F51">
      <w:pPr>
        <w:rPr>
          <w:noProof/>
        </w:rPr>
      </w:pPr>
      <w:r w:rsidRPr="0095119E">
        <w:rPr>
          <w:noProof/>
        </w:rPr>
        <w:t>When reviewing</w:t>
      </w:r>
      <w:r w:rsidR="00247B5F" w:rsidRPr="0095119E">
        <w:rPr>
          <w:noProof/>
        </w:rPr>
        <w:t xml:space="preserve"> academic governance</w:t>
      </w:r>
      <w:r w:rsidR="00C603D2" w:rsidRPr="0095119E">
        <w:rPr>
          <w:noProof/>
        </w:rPr>
        <w:t xml:space="preserve"> arrangements</w:t>
      </w:r>
      <w:r w:rsidR="00247B5F" w:rsidRPr="0095119E">
        <w:rPr>
          <w:noProof/>
        </w:rPr>
        <w:t xml:space="preserve">, TEQSA </w:t>
      </w:r>
      <w:r w:rsidR="002A1ACB" w:rsidRPr="0095119E">
        <w:rPr>
          <w:noProof/>
        </w:rPr>
        <w:t>will determine</w:t>
      </w:r>
      <w:r w:rsidR="00247B5F" w:rsidRPr="0095119E">
        <w:rPr>
          <w:noProof/>
        </w:rPr>
        <w:t xml:space="preserve"> whether</w:t>
      </w:r>
      <w:r w:rsidR="008D50FC" w:rsidRPr="0095119E">
        <w:rPr>
          <w:noProof/>
        </w:rPr>
        <w:t xml:space="preserve"> a</w:t>
      </w:r>
      <w:r w:rsidR="00247B5F" w:rsidRPr="0095119E">
        <w:rPr>
          <w:noProof/>
        </w:rPr>
        <w:t xml:space="preserve"> </w:t>
      </w:r>
      <w:r w:rsidR="002E7412" w:rsidRPr="0095119E">
        <w:rPr>
          <w:noProof/>
        </w:rPr>
        <w:t>provider</w:t>
      </w:r>
      <w:r w:rsidR="008D50FC" w:rsidRPr="0095119E">
        <w:rPr>
          <w:noProof/>
        </w:rPr>
        <w:t>’</w:t>
      </w:r>
      <w:r w:rsidR="002E7412" w:rsidRPr="0095119E">
        <w:rPr>
          <w:noProof/>
        </w:rPr>
        <w:t>s</w:t>
      </w:r>
      <w:r w:rsidR="00247B5F" w:rsidRPr="0095119E">
        <w:rPr>
          <w:noProof/>
        </w:rPr>
        <w:t xml:space="preserve"> mechanisms for academic governance </w:t>
      </w:r>
      <w:r w:rsidR="00E96154" w:rsidRPr="0095119E">
        <w:rPr>
          <w:noProof/>
        </w:rPr>
        <w:t>meet</w:t>
      </w:r>
      <w:r w:rsidR="00247B5F" w:rsidRPr="0095119E">
        <w:rPr>
          <w:noProof/>
        </w:rPr>
        <w:t xml:space="preserve"> the requirements of the </w:t>
      </w:r>
      <w:r w:rsidR="002A1ACB" w:rsidRPr="0095119E">
        <w:rPr>
          <w:noProof/>
        </w:rPr>
        <w:t>Threshold Standards</w:t>
      </w:r>
      <w:r w:rsidR="00247B5F" w:rsidRPr="0095119E">
        <w:rPr>
          <w:noProof/>
        </w:rPr>
        <w:t xml:space="preserve">. </w:t>
      </w:r>
      <w:r w:rsidR="002A1ACB" w:rsidRPr="0095119E">
        <w:rPr>
          <w:noProof/>
        </w:rPr>
        <w:t>In so doing</w:t>
      </w:r>
      <w:r w:rsidR="00247B5F" w:rsidRPr="0095119E">
        <w:rPr>
          <w:noProof/>
        </w:rPr>
        <w:t>, TEQSA</w:t>
      </w:r>
      <w:r w:rsidR="002C533B" w:rsidRPr="0095119E">
        <w:rPr>
          <w:noProof/>
        </w:rPr>
        <w:t xml:space="preserve"> </w:t>
      </w:r>
      <w:r w:rsidR="00E30023" w:rsidRPr="0095119E">
        <w:rPr>
          <w:noProof/>
        </w:rPr>
        <w:t>requires</w:t>
      </w:r>
      <w:r w:rsidR="00070B86" w:rsidRPr="0095119E">
        <w:rPr>
          <w:noProof/>
        </w:rPr>
        <w:t xml:space="preserve"> </w:t>
      </w:r>
      <w:r w:rsidR="008D50FC" w:rsidRPr="0095119E">
        <w:rPr>
          <w:noProof/>
        </w:rPr>
        <w:t>sufficient</w:t>
      </w:r>
      <w:r w:rsidR="00247B5F" w:rsidRPr="0095119E">
        <w:rPr>
          <w:noProof/>
        </w:rPr>
        <w:t xml:space="preserve"> </w:t>
      </w:r>
      <w:r w:rsidR="002B2F6C" w:rsidRPr="0095119E">
        <w:rPr>
          <w:noProof/>
        </w:rPr>
        <w:t xml:space="preserve">evidence </w:t>
      </w:r>
      <w:r w:rsidR="00247B5F" w:rsidRPr="0095119E">
        <w:rPr>
          <w:noProof/>
        </w:rPr>
        <w:t>about the provider’s</w:t>
      </w:r>
      <w:r w:rsidR="002C533B" w:rsidRPr="0095119E">
        <w:rPr>
          <w:noProof/>
        </w:rPr>
        <w:t xml:space="preserve"> academic governance</w:t>
      </w:r>
      <w:r w:rsidR="008D50FC" w:rsidRPr="0095119E">
        <w:rPr>
          <w:noProof/>
        </w:rPr>
        <w:t xml:space="preserve"> arrangements</w:t>
      </w:r>
      <w:r w:rsidR="002B2F6C" w:rsidRPr="0095119E">
        <w:rPr>
          <w:noProof/>
        </w:rPr>
        <w:t xml:space="preserve"> and structures</w:t>
      </w:r>
      <w:r w:rsidR="00580549" w:rsidRPr="0095119E">
        <w:rPr>
          <w:noProof/>
        </w:rPr>
        <w:t xml:space="preserve"> </w:t>
      </w:r>
      <w:r w:rsidR="00EA3A16" w:rsidRPr="0095119E">
        <w:rPr>
          <w:noProof/>
        </w:rPr>
        <w:t>to</w:t>
      </w:r>
      <w:r w:rsidR="00BE51D0" w:rsidRPr="0095119E">
        <w:rPr>
          <w:noProof/>
        </w:rPr>
        <w:t xml:space="preserve"> </w:t>
      </w:r>
      <w:r w:rsidR="00580549" w:rsidRPr="0095119E">
        <w:rPr>
          <w:noProof/>
        </w:rPr>
        <w:t>demonstrat</w:t>
      </w:r>
      <w:r w:rsidR="00BE51D0" w:rsidRPr="0095119E">
        <w:rPr>
          <w:noProof/>
        </w:rPr>
        <w:t xml:space="preserve">e effective </w:t>
      </w:r>
      <w:r w:rsidR="00DF4F84" w:rsidRPr="0095119E">
        <w:rPr>
          <w:noProof/>
        </w:rPr>
        <w:t xml:space="preserve">and systematic </w:t>
      </w:r>
      <w:r w:rsidR="00764700" w:rsidRPr="0095119E">
        <w:rPr>
          <w:noProof/>
        </w:rPr>
        <w:t>quality assurance</w:t>
      </w:r>
      <w:r w:rsidR="00636E77" w:rsidRPr="0095119E">
        <w:rPr>
          <w:noProof/>
        </w:rPr>
        <w:t>, with</w:t>
      </w:r>
      <w:r w:rsidR="00F30A1A" w:rsidRPr="0095119E">
        <w:rPr>
          <w:noProof/>
        </w:rPr>
        <w:t xml:space="preserve"> expected student outcomes achieved</w:t>
      </w:r>
      <w:r w:rsidR="002C533B" w:rsidRPr="0095119E">
        <w:rPr>
          <w:noProof/>
        </w:rPr>
        <w:t xml:space="preserve">. </w:t>
      </w:r>
      <w:r w:rsidR="008D50FC" w:rsidRPr="0095119E">
        <w:rPr>
          <w:noProof/>
        </w:rPr>
        <w:t>This may include evidence</w:t>
      </w:r>
      <w:r w:rsidR="00952AE2" w:rsidRPr="0095119E">
        <w:rPr>
          <w:noProof/>
        </w:rPr>
        <w:t xml:space="preserve"> that demonstrates</w:t>
      </w:r>
      <w:r w:rsidR="00277FBD" w:rsidRPr="0095119E">
        <w:rPr>
          <w:noProof/>
        </w:rPr>
        <w:t xml:space="preserve">:  </w:t>
      </w:r>
    </w:p>
    <w:p w14:paraId="5BD4A4E5" w14:textId="5970B374" w:rsidR="009F6E2C" w:rsidRPr="0095119E" w:rsidRDefault="00F36A09" w:rsidP="0021773C">
      <w:pPr>
        <w:pStyle w:val="Bullet1"/>
        <w:rPr>
          <w:noProof/>
        </w:rPr>
      </w:pPr>
      <w:r w:rsidRPr="0095119E">
        <w:rPr>
          <w:noProof/>
        </w:rPr>
        <w:t xml:space="preserve">there is </w:t>
      </w:r>
      <w:r w:rsidR="00080825" w:rsidRPr="0095119E">
        <w:rPr>
          <w:noProof/>
        </w:rPr>
        <w:t xml:space="preserve">sufficient </w:t>
      </w:r>
      <w:r w:rsidR="002C533B" w:rsidRPr="0095119E">
        <w:rPr>
          <w:noProof/>
        </w:rPr>
        <w:t>academic capability</w:t>
      </w:r>
      <w:r w:rsidR="00B20C96" w:rsidRPr="0095119E">
        <w:rPr>
          <w:noProof/>
        </w:rPr>
        <w:t xml:space="preserve"> </w:t>
      </w:r>
      <w:r w:rsidR="002C533B" w:rsidRPr="0095119E">
        <w:rPr>
          <w:noProof/>
        </w:rPr>
        <w:t xml:space="preserve">to provide effective leadership and competent scrutiny and advice  </w:t>
      </w:r>
    </w:p>
    <w:p w14:paraId="2B0A3FF0" w14:textId="27D15029" w:rsidR="009F6E2C" w:rsidRPr="0095119E" w:rsidRDefault="00B20C96" w:rsidP="0021773C">
      <w:pPr>
        <w:pStyle w:val="Bullet1"/>
        <w:rPr>
          <w:noProof/>
        </w:rPr>
      </w:pPr>
      <w:r w:rsidRPr="0095119E">
        <w:rPr>
          <w:noProof/>
        </w:rPr>
        <w:t xml:space="preserve">whether </w:t>
      </w:r>
      <w:r w:rsidR="00952AE2" w:rsidRPr="0095119E">
        <w:rPr>
          <w:noProof/>
        </w:rPr>
        <w:t xml:space="preserve">the </w:t>
      </w:r>
      <w:r w:rsidR="00847840" w:rsidRPr="0095119E">
        <w:rPr>
          <w:noProof/>
        </w:rPr>
        <w:t>structure of</w:t>
      </w:r>
      <w:r w:rsidR="001F6EAB" w:rsidRPr="0095119E">
        <w:rPr>
          <w:noProof/>
        </w:rPr>
        <w:t xml:space="preserve"> academic</w:t>
      </w:r>
      <w:r w:rsidR="002C533B" w:rsidRPr="0095119E">
        <w:rPr>
          <w:noProof/>
        </w:rPr>
        <w:t xml:space="preserve"> </w:t>
      </w:r>
      <w:r w:rsidR="001F6EAB" w:rsidRPr="0095119E">
        <w:rPr>
          <w:noProof/>
        </w:rPr>
        <w:t xml:space="preserve">governance </w:t>
      </w:r>
      <w:r w:rsidR="00847840" w:rsidRPr="0095119E">
        <w:rPr>
          <w:noProof/>
        </w:rPr>
        <w:t xml:space="preserve">is </w:t>
      </w:r>
      <w:r w:rsidR="002C533B" w:rsidRPr="0095119E">
        <w:rPr>
          <w:noProof/>
        </w:rPr>
        <w:t>consistent with the scope and scale of the provider’s operations and the level of academic activity involved (</w:t>
      </w:r>
      <w:r w:rsidR="009A42D3" w:rsidRPr="0095119E">
        <w:rPr>
          <w:noProof/>
        </w:rPr>
        <w:t>e.g.</w:t>
      </w:r>
      <w:r w:rsidR="002C533B" w:rsidRPr="0095119E">
        <w:rPr>
          <w:noProof/>
        </w:rPr>
        <w:t xml:space="preserve"> </w:t>
      </w:r>
      <w:r w:rsidR="000A76A3" w:rsidRPr="0095119E">
        <w:rPr>
          <w:noProof/>
        </w:rPr>
        <w:t>bachelor’s</w:t>
      </w:r>
      <w:r w:rsidR="00136245" w:rsidRPr="0095119E">
        <w:rPr>
          <w:noProof/>
        </w:rPr>
        <w:t xml:space="preserve"> </w:t>
      </w:r>
      <w:r w:rsidR="002C533B" w:rsidRPr="0095119E">
        <w:rPr>
          <w:noProof/>
        </w:rPr>
        <w:t xml:space="preserve">degree level </w:t>
      </w:r>
      <w:r w:rsidR="00136245" w:rsidRPr="0095119E">
        <w:rPr>
          <w:noProof/>
        </w:rPr>
        <w:t>vs.</w:t>
      </w:r>
      <w:r w:rsidR="002C533B" w:rsidRPr="0095119E">
        <w:rPr>
          <w:noProof/>
        </w:rPr>
        <w:t xml:space="preserve"> higher degree by research)</w:t>
      </w:r>
    </w:p>
    <w:p w14:paraId="245B98F7" w14:textId="53A15436" w:rsidR="008D50FC" w:rsidRPr="0095119E" w:rsidRDefault="00B20C96" w:rsidP="0021773C">
      <w:pPr>
        <w:pStyle w:val="Bullet1"/>
        <w:rPr>
          <w:noProof/>
        </w:rPr>
      </w:pPr>
      <w:r w:rsidRPr="0095119E">
        <w:rPr>
          <w:noProof/>
        </w:rPr>
        <w:t xml:space="preserve">links </w:t>
      </w:r>
      <w:r w:rsidR="00CA3C97" w:rsidRPr="0095119E">
        <w:rPr>
          <w:noProof/>
        </w:rPr>
        <w:t>between academic and corporate governance</w:t>
      </w:r>
      <w:r w:rsidR="0077749A" w:rsidRPr="0095119E">
        <w:rPr>
          <w:noProof/>
        </w:rPr>
        <w:t xml:space="preserve">. </w:t>
      </w:r>
      <w:r w:rsidR="00CA3C97" w:rsidRPr="0095119E">
        <w:rPr>
          <w:noProof/>
        </w:rPr>
        <w:t xml:space="preserve">TEQSA will expect the provider to </w:t>
      </w:r>
      <w:r w:rsidR="008D50FC" w:rsidRPr="0095119E">
        <w:rPr>
          <w:noProof/>
        </w:rPr>
        <w:t>demonstrate that</w:t>
      </w:r>
      <w:r w:rsidR="001F6EAB" w:rsidRPr="0095119E">
        <w:rPr>
          <w:noProof/>
        </w:rPr>
        <w:t xml:space="preserve"> </w:t>
      </w:r>
      <w:r w:rsidR="008D50FC" w:rsidRPr="0095119E">
        <w:rPr>
          <w:noProof/>
        </w:rPr>
        <w:t xml:space="preserve">its </w:t>
      </w:r>
      <w:r w:rsidR="00CA3C97" w:rsidRPr="0095119E">
        <w:rPr>
          <w:noProof/>
        </w:rPr>
        <w:t>governance system enables the corporate governing body to arrive at an informed and reliable view of the quality and outcomes of the provider’s higher education activitie</w:t>
      </w:r>
      <w:r w:rsidR="001F6EAB" w:rsidRPr="0095119E">
        <w:rPr>
          <w:noProof/>
        </w:rPr>
        <w:t xml:space="preserve">s </w:t>
      </w:r>
    </w:p>
    <w:p w14:paraId="2EFFFAAB" w14:textId="724BCCE0" w:rsidR="009E0C9E" w:rsidRPr="0095119E" w:rsidRDefault="00730AD9" w:rsidP="0021773C">
      <w:pPr>
        <w:pStyle w:val="Bullet1"/>
        <w:rPr>
          <w:noProof/>
        </w:rPr>
      </w:pPr>
      <w:r w:rsidRPr="0095119E">
        <w:rPr>
          <w:noProof/>
        </w:rPr>
        <w:lastRenderedPageBreak/>
        <w:t xml:space="preserve">there are </w:t>
      </w:r>
      <w:r w:rsidR="00BB3794" w:rsidRPr="0095119E">
        <w:rPr>
          <w:noProof/>
        </w:rPr>
        <w:t xml:space="preserve">provisions to ensure </w:t>
      </w:r>
      <w:r w:rsidR="009E0C9E" w:rsidRPr="0095119E">
        <w:rPr>
          <w:noProof/>
        </w:rPr>
        <w:t>crucial input to considerations of strategic and operational planning</w:t>
      </w:r>
      <w:r w:rsidR="00BB3794" w:rsidRPr="0095119E">
        <w:rPr>
          <w:noProof/>
        </w:rPr>
        <w:t xml:space="preserve"> by all relevant </w:t>
      </w:r>
      <w:r w:rsidR="00394978" w:rsidRPr="0095119E">
        <w:rPr>
          <w:noProof/>
        </w:rPr>
        <w:t>boards and committees</w:t>
      </w:r>
    </w:p>
    <w:p w14:paraId="7E09652C" w14:textId="633CD965" w:rsidR="008545D6" w:rsidRPr="0095119E" w:rsidRDefault="001F6EAB" w:rsidP="0021773C">
      <w:pPr>
        <w:pStyle w:val="Bullet1"/>
        <w:rPr>
          <w:noProof/>
        </w:rPr>
      </w:pPr>
      <w:r w:rsidRPr="0095119E">
        <w:rPr>
          <w:noProof/>
        </w:rPr>
        <w:t>t</w:t>
      </w:r>
      <w:r w:rsidR="00CA3C97" w:rsidRPr="0095119E">
        <w:rPr>
          <w:noProof/>
        </w:rPr>
        <w:t>he adequacy of academic governance and other academic quality assurance systems</w:t>
      </w:r>
      <w:r w:rsidR="00394978" w:rsidRPr="0095119E">
        <w:rPr>
          <w:noProof/>
        </w:rPr>
        <w:t xml:space="preserve"> in </w:t>
      </w:r>
      <w:r w:rsidR="004B4550" w:rsidRPr="0095119E">
        <w:rPr>
          <w:noProof/>
        </w:rPr>
        <w:t>self-monitoring</w:t>
      </w:r>
      <w:r w:rsidR="00394978" w:rsidRPr="0095119E">
        <w:rPr>
          <w:noProof/>
        </w:rPr>
        <w:t xml:space="preserve"> to ensure effective operation</w:t>
      </w:r>
      <w:r w:rsidR="00CA3C97" w:rsidRPr="0095119E">
        <w:rPr>
          <w:noProof/>
        </w:rPr>
        <w:t>,</w:t>
      </w:r>
      <w:r w:rsidR="00394978" w:rsidRPr="0095119E">
        <w:rPr>
          <w:noProof/>
        </w:rPr>
        <w:t xml:space="preserve"> referencing best practice on </w:t>
      </w:r>
      <w:r w:rsidR="00417504" w:rsidRPr="0095119E">
        <w:rPr>
          <w:noProof/>
        </w:rPr>
        <w:t>factors</w:t>
      </w:r>
      <w:r w:rsidR="00394978" w:rsidRPr="0095119E">
        <w:rPr>
          <w:noProof/>
        </w:rPr>
        <w:t xml:space="preserve"> such</w:t>
      </w:r>
      <w:r w:rsidR="004B4550" w:rsidRPr="0095119E">
        <w:rPr>
          <w:noProof/>
        </w:rPr>
        <w:t xml:space="preserve"> as, but not limited to,</w:t>
      </w:r>
      <w:r w:rsidR="00394978" w:rsidRPr="0095119E">
        <w:rPr>
          <w:noProof/>
        </w:rPr>
        <w:t xml:space="preserve"> risk management, </w:t>
      </w:r>
      <w:r w:rsidR="00801AF3">
        <w:rPr>
          <w:noProof/>
        </w:rPr>
        <w:t xml:space="preserve">effective delegations, </w:t>
      </w:r>
      <w:r w:rsidR="00394978" w:rsidRPr="0095119E">
        <w:rPr>
          <w:noProof/>
        </w:rPr>
        <w:t xml:space="preserve">continuous improvement plans </w:t>
      </w:r>
      <w:r w:rsidR="00BF7F51" w:rsidRPr="0095119E">
        <w:rPr>
          <w:noProof/>
        </w:rPr>
        <w:t>and monitoring</w:t>
      </w:r>
      <w:r w:rsidR="00CA3C97" w:rsidRPr="0095119E">
        <w:rPr>
          <w:noProof/>
        </w:rPr>
        <w:t xml:space="preserve"> the effectiveness of </w:t>
      </w:r>
      <w:r w:rsidR="008545D6" w:rsidRPr="0095119E">
        <w:rPr>
          <w:noProof/>
        </w:rPr>
        <w:t xml:space="preserve">its </w:t>
      </w:r>
      <w:r w:rsidR="00CA3C97" w:rsidRPr="0095119E">
        <w:rPr>
          <w:noProof/>
        </w:rPr>
        <w:t>academic policy framework</w:t>
      </w:r>
    </w:p>
    <w:p w14:paraId="5465E1D6" w14:textId="41D3060B" w:rsidR="00CA3C97" w:rsidRPr="0095119E" w:rsidRDefault="001E19B7" w:rsidP="0021773C">
      <w:pPr>
        <w:pStyle w:val="Bullet1"/>
        <w:rPr>
          <w:noProof/>
        </w:rPr>
      </w:pPr>
      <w:r w:rsidRPr="0095119E">
        <w:rPr>
          <w:noProof/>
        </w:rPr>
        <w:t>that</w:t>
      </w:r>
      <w:r w:rsidR="008545D6" w:rsidRPr="0095119E">
        <w:rPr>
          <w:noProof/>
        </w:rPr>
        <w:t xml:space="preserve"> students have an opportunity to participate in academic governance</w:t>
      </w:r>
      <w:r w:rsidR="00451653" w:rsidRPr="0095119E">
        <w:rPr>
          <w:noProof/>
        </w:rPr>
        <w:t xml:space="preserve"> </w:t>
      </w:r>
    </w:p>
    <w:p w14:paraId="4FEEED97" w14:textId="60770B47" w:rsidR="004C548B" w:rsidRDefault="00234136" w:rsidP="0021773C">
      <w:pPr>
        <w:pStyle w:val="Bullet1"/>
        <w:rPr>
          <w:noProof/>
        </w:rPr>
      </w:pPr>
      <w:r w:rsidRPr="0095119E">
        <w:rPr>
          <w:noProof/>
        </w:rPr>
        <w:t xml:space="preserve">the level of institutional monitoring and review (Domain 5), which is a </w:t>
      </w:r>
      <w:r w:rsidR="000304A2" w:rsidRPr="0095119E">
        <w:rPr>
          <w:noProof/>
        </w:rPr>
        <w:t>key</w:t>
      </w:r>
      <w:r w:rsidRPr="0095119E">
        <w:rPr>
          <w:noProof/>
        </w:rPr>
        <w:t xml:space="preserve"> feature of academic governance in support of a culture of continuous improvement</w:t>
      </w:r>
      <w:r w:rsidR="003F098D" w:rsidRPr="0095119E">
        <w:rPr>
          <w:noProof/>
        </w:rPr>
        <w:t xml:space="preserve"> (see </w:t>
      </w:r>
      <w:r w:rsidR="00350FCD" w:rsidRPr="0095119E">
        <w:rPr>
          <w:noProof/>
        </w:rPr>
        <w:t xml:space="preserve">the </w:t>
      </w:r>
      <w:r w:rsidR="003F098D" w:rsidRPr="0095119E">
        <w:rPr>
          <w:noProof/>
        </w:rPr>
        <w:t>Monitoring, Review and Improvement Guidance Note)</w:t>
      </w:r>
      <w:r w:rsidR="008268AE" w:rsidRPr="0095119E">
        <w:rPr>
          <w:noProof/>
        </w:rPr>
        <w:t>.</w:t>
      </w:r>
    </w:p>
    <w:p w14:paraId="11242F02" w14:textId="2DE470F6" w:rsidR="00FB3DE6" w:rsidRPr="0095119E" w:rsidRDefault="00806824" w:rsidP="001C2847">
      <w:pPr>
        <w:pStyle w:val="ListParagraph"/>
        <w:keepNext/>
        <w:keepLines/>
        <w:numPr>
          <w:ilvl w:val="0"/>
          <w:numId w:val="18"/>
        </w:numPr>
        <w:spacing w:before="480" w:after="240" w:line="500" w:lineRule="atLeast"/>
        <w:ind w:hanging="720"/>
        <w:outlineLvl w:val="1"/>
        <w:rPr>
          <w:rFonts w:asciiTheme="majorHAnsi" w:eastAsiaTheme="majorEastAsia" w:hAnsiTheme="majorHAnsi" w:cstheme="majorBidi"/>
          <w:noProof/>
          <w:color w:val="004E7D"/>
          <w:sz w:val="44"/>
          <w:szCs w:val="26"/>
        </w:rPr>
      </w:pPr>
      <w:r w:rsidRPr="0095119E">
        <w:rPr>
          <w:rFonts w:asciiTheme="majorHAnsi" w:eastAsiaTheme="majorEastAsia" w:hAnsiTheme="majorHAnsi" w:cstheme="majorBidi"/>
          <w:noProof/>
          <w:color w:val="004E7D"/>
          <w:sz w:val="44"/>
          <w:szCs w:val="26"/>
        </w:rPr>
        <w:t>Identified</w:t>
      </w:r>
      <w:r w:rsidR="00660D4E" w:rsidRPr="0095119E">
        <w:rPr>
          <w:rFonts w:asciiTheme="majorHAnsi" w:eastAsiaTheme="majorEastAsia" w:hAnsiTheme="majorHAnsi" w:cstheme="majorBidi"/>
          <w:noProof/>
          <w:color w:val="004E7D"/>
          <w:sz w:val="44"/>
          <w:szCs w:val="26"/>
        </w:rPr>
        <w:t xml:space="preserve"> issues</w:t>
      </w:r>
    </w:p>
    <w:p w14:paraId="03F6E4B4" w14:textId="2812C00F" w:rsidR="00806824" w:rsidRPr="0095119E" w:rsidRDefault="00C22E50" w:rsidP="00C22E50">
      <w:pPr>
        <w:rPr>
          <w:noProof/>
        </w:rPr>
      </w:pPr>
      <w:r w:rsidRPr="0095119E">
        <w:rPr>
          <w:noProof/>
        </w:rPr>
        <w:t xml:space="preserve">In the absence of a </w:t>
      </w:r>
      <w:r w:rsidR="007166E6" w:rsidRPr="0095119E">
        <w:rPr>
          <w:noProof/>
        </w:rPr>
        <w:t>robust and high functioning</w:t>
      </w:r>
      <w:r w:rsidRPr="0095119E">
        <w:rPr>
          <w:noProof/>
        </w:rPr>
        <w:t xml:space="preserve"> system of academic governance</w:t>
      </w:r>
      <w:r w:rsidR="006A6D9B" w:rsidRPr="0095119E">
        <w:rPr>
          <w:noProof/>
        </w:rPr>
        <w:t>,</w:t>
      </w:r>
      <w:r w:rsidRPr="0095119E">
        <w:rPr>
          <w:noProof/>
        </w:rPr>
        <w:t xml:space="preserve"> it is difficult for a provider to</w:t>
      </w:r>
      <w:r w:rsidR="00806824" w:rsidRPr="0095119E">
        <w:rPr>
          <w:noProof/>
        </w:rPr>
        <w:t>:</w:t>
      </w:r>
    </w:p>
    <w:p w14:paraId="2374D89A" w14:textId="1EA9276D" w:rsidR="00806824" w:rsidRPr="0095119E" w:rsidRDefault="00C22E50" w:rsidP="0021773C">
      <w:pPr>
        <w:pStyle w:val="Bullet1"/>
        <w:rPr>
          <w:noProof/>
        </w:rPr>
      </w:pPr>
      <w:r w:rsidRPr="0095119E">
        <w:rPr>
          <w:noProof/>
        </w:rPr>
        <w:t>assure itself</w:t>
      </w:r>
      <w:r w:rsidR="00703C44" w:rsidRPr="0095119E">
        <w:rPr>
          <w:noProof/>
        </w:rPr>
        <w:t xml:space="preserve"> and TEQSA </w:t>
      </w:r>
      <w:r w:rsidRPr="0095119E">
        <w:rPr>
          <w:noProof/>
        </w:rPr>
        <w:t>of the quality of its educational activities</w:t>
      </w:r>
    </w:p>
    <w:p w14:paraId="2D9A462A" w14:textId="2D1C7323" w:rsidR="002A1ACB" w:rsidRPr="0095119E" w:rsidRDefault="000A76A3" w:rsidP="0021773C">
      <w:pPr>
        <w:pStyle w:val="Bullet1"/>
        <w:rPr>
          <w:noProof/>
        </w:rPr>
      </w:pPr>
      <w:r w:rsidRPr="0095119E">
        <w:rPr>
          <w:noProof/>
        </w:rPr>
        <w:t xml:space="preserve">provide adequate oversight and support of </w:t>
      </w:r>
      <w:r w:rsidR="00163122">
        <w:rPr>
          <w:noProof/>
        </w:rPr>
        <w:t xml:space="preserve">academic </w:t>
      </w:r>
      <w:r w:rsidRPr="0095119E">
        <w:rPr>
          <w:noProof/>
        </w:rPr>
        <w:t>scholarship activities</w:t>
      </w:r>
    </w:p>
    <w:p w14:paraId="4789ADB7" w14:textId="2114A1B2" w:rsidR="00806824" w:rsidRPr="0095119E" w:rsidRDefault="00C22E50" w:rsidP="0021773C">
      <w:pPr>
        <w:pStyle w:val="Bullet1"/>
        <w:rPr>
          <w:noProof/>
        </w:rPr>
      </w:pPr>
      <w:r w:rsidRPr="0095119E">
        <w:rPr>
          <w:noProof/>
        </w:rPr>
        <w:t>provide institutional academic leadership</w:t>
      </w:r>
      <w:r w:rsidR="00011656" w:rsidRPr="0095119E">
        <w:rPr>
          <w:noProof/>
        </w:rPr>
        <w:t xml:space="preserve"> to maintain expected outcomes for students and the reputation of the provider</w:t>
      </w:r>
      <w:r w:rsidRPr="0095119E">
        <w:rPr>
          <w:noProof/>
        </w:rPr>
        <w:t xml:space="preserve"> (e.g. through setting benchmarks, policy frameworks, </w:t>
      </w:r>
      <w:r w:rsidR="007F6534" w:rsidRPr="0095119E">
        <w:rPr>
          <w:noProof/>
        </w:rPr>
        <w:t>scrutinising</w:t>
      </w:r>
      <w:r w:rsidRPr="0095119E">
        <w:rPr>
          <w:noProof/>
        </w:rPr>
        <w:t xml:space="preserve"> and approving courses of study, ensuring the </w:t>
      </w:r>
      <w:r w:rsidR="00A20862" w:rsidRPr="0095119E">
        <w:rPr>
          <w:noProof/>
        </w:rPr>
        <w:t>appropriateness</w:t>
      </w:r>
      <w:r w:rsidRPr="0095119E">
        <w:rPr>
          <w:noProof/>
        </w:rPr>
        <w:t xml:space="preserve"> of academic grades, determining admission requirements</w:t>
      </w:r>
      <w:r w:rsidR="00703C44" w:rsidRPr="0095119E">
        <w:rPr>
          <w:noProof/>
        </w:rPr>
        <w:t xml:space="preserve">, </w:t>
      </w:r>
      <w:r w:rsidR="008C3C7C" w:rsidRPr="0095119E">
        <w:rPr>
          <w:noProof/>
        </w:rPr>
        <w:t xml:space="preserve">and </w:t>
      </w:r>
      <w:r w:rsidR="00703C44" w:rsidRPr="0095119E">
        <w:rPr>
          <w:noProof/>
        </w:rPr>
        <w:t>adhering to professional accreditation standards</w:t>
      </w:r>
      <w:r w:rsidRPr="0095119E">
        <w:rPr>
          <w:noProof/>
        </w:rPr>
        <w:t>)</w:t>
      </w:r>
    </w:p>
    <w:p w14:paraId="23E86DCB" w14:textId="3E664905" w:rsidR="004F4025" w:rsidRPr="0095119E" w:rsidRDefault="004F4025" w:rsidP="0021773C">
      <w:pPr>
        <w:pStyle w:val="Bullet1"/>
        <w:rPr>
          <w:noProof/>
        </w:rPr>
      </w:pPr>
      <w:r w:rsidRPr="0095119E">
        <w:rPr>
          <w:noProof/>
        </w:rPr>
        <w:t>have effective monitoring, review, and improvement of course quality, institutional benchmarks, and quality assurance arrangements, resulting in limited or no improvement action</w:t>
      </w:r>
    </w:p>
    <w:p w14:paraId="38A94E31" w14:textId="6A9120C4" w:rsidR="004E430D" w:rsidRPr="0095119E" w:rsidRDefault="00F7122C" w:rsidP="0021773C">
      <w:pPr>
        <w:pStyle w:val="Bullet1"/>
        <w:rPr>
          <w:noProof/>
        </w:rPr>
      </w:pPr>
      <w:r w:rsidRPr="0095119E">
        <w:rPr>
          <w:noProof/>
        </w:rPr>
        <w:t>adhere to</w:t>
      </w:r>
      <w:r w:rsidR="00806824" w:rsidRPr="0095119E">
        <w:rPr>
          <w:noProof/>
        </w:rPr>
        <w:t xml:space="preserve"> an adequate </w:t>
      </w:r>
      <w:r w:rsidR="00C22E50" w:rsidRPr="0095119E">
        <w:rPr>
          <w:noProof/>
        </w:rPr>
        <w:t>policy framework</w:t>
      </w:r>
      <w:r w:rsidR="00B47345" w:rsidRPr="0095119E">
        <w:rPr>
          <w:noProof/>
        </w:rPr>
        <w:t>,</w:t>
      </w:r>
      <w:r w:rsidR="00806824" w:rsidRPr="0095119E">
        <w:rPr>
          <w:noProof/>
        </w:rPr>
        <w:t xml:space="preserve"> </w:t>
      </w:r>
      <w:r w:rsidR="002F6909" w:rsidRPr="0095119E">
        <w:rPr>
          <w:noProof/>
        </w:rPr>
        <w:t>resulting in</w:t>
      </w:r>
      <w:r w:rsidR="00806824" w:rsidRPr="0095119E">
        <w:rPr>
          <w:noProof/>
        </w:rPr>
        <w:t xml:space="preserve"> </w:t>
      </w:r>
      <w:r w:rsidR="002F6909" w:rsidRPr="0095119E">
        <w:rPr>
          <w:noProof/>
        </w:rPr>
        <w:t>inconsisten</w:t>
      </w:r>
      <w:r w:rsidR="00257C3C" w:rsidRPr="0095119E">
        <w:rPr>
          <w:noProof/>
        </w:rPr>
        <w:t>t</w:t>
      </w:r>
      <w:r w:rsidR="00C22E50" w:rsidRPr="0095119E">
        <w:rPr>
          <w:noProof/>
        </w:rPr>
        <w:t xml:space="preserve"> expectations </w:t>
      </w:r>
      <w:r w:rsidR="00257C3C" w:rsidRPr="0095119E">
        <w:rPr>
          <w:noProof/>
        </w:rPr>
        <w:t>of</w:t>
      </w:r>
      <w:r w:rsidR="00C22E50" w:rsidRPr="0095119E">
        <w:rPr>
          <w:noProof/>
        </w:rPr>
        <w:t xml:space="preserve"> both staff and students </w:t>
      </w:r>
      <w:r w:rsidR="00410A51" w:rsidRPr="0095119E">
        <w:rPr>
          <w:noProof/>
        </w:rPr>
        <w:t>regarding academic quality</w:t>
      </w:r>
    </w:p>
    <w:p w14:paraId="52B2F6C6" w14:textId="3C26F109" w:rsidR="00156CFF" w:rsidRPr="0095119E" w:rsidRDefault="004E430D" w:rsidP="0021773C">
      <w:pPr>
        <w:pStyle w:val="Bullet1"/>
        <w:rPr>
          <w:noProof/>
        </w:rPr>
      </w:pPr>
      <w:r w:rsidRPr="0095119E">
        <w:rPr>
          <w:noProof/>
        </w:rPr>
        <w:t>ensure</w:t>
      </w:r>
      <w:r w:rsidR="009D671A" w:rsidRPr="0095119E">
        <w:rPr>
          <w:noProof/>
        </w:rPr>
        <w:t xml:space="preserve"> </w:t>
      </w:r>
      <w:r w:rsidRPr="0095119E">
        <w:rPr>
          <w:noProof/>
        </w:rPr>
        <w:t>equivalency in student</w:t>
      </w:r>
      <w:r w:rsidR="009D671A" w:rsidRPr="0095119E">
        <w:rPr>
          <w:noProof/>
        </w:rPr>
        <w:t xml:space="preserve"> outcomes</w:t>
      </w:r>
      <w:r w:rsidR="00B47345" w:rsidRPr="0095119E">
        <w:rPr>
          <w:noProof/>
        </w:rPr>
        <w:t xml:space="preserve"> </w:t>
      </w:r>
      <w:r w:rsidR="00FB415F" w:rsidRPr="0095119E">
        <w:rPr>
          <w:noProof/>
        </w:rPr>
        <w:t>and the student experience</w:t>
      </w:r>
    </w:p>
    <w:p w14:paraId="7A5EF7CC" w14:textId="143A604D" w:rsidR="00806824" w:rsidRPr="0095119E" w:rsidRDefault="00806824" w:rsidP="0021773C">
      <w:pPr>
        <w:pStyle w:val="Bullet1"/>
        <w:rPr>
          <w:noProof/>
        </w:rPr>
      </w:pPr>
      <w:r w:rsidRPr="0095119E">
        <w:rPr>
          <w:noProof/>
        </w:rPr>
        <w:t xml:space="preserve">make appropriate </w:t>
      </w:r>
      <w:r w:rsidR="00C22E50" w:rsidRPr="0095119E">
        <w:rPr>
          <w:noProof/>
        </w:rPr>
        <w:t xml:space="preserve">corporate decisions </w:t>
      </w:r>
      <w:r w:rsidRPr="0095119E">
        <w:rPr>
          <w:noProof/>
        </w:rPr>
        <w:t>due to</w:t>
      </w:r>
      <w:r w:rsidR="00C22E50" w:rsidRPr="0095119E">
        <w:rPr>
          <w:noProof/>
        </w:rPr>
        <w:t xml:space="preserve"> insufficient or ineffectual academic advice </w:t>
      </w:r>
      <w:r w:rsidR="00B47345" w:rsidRPr="0095119E">
        <w:rPr>
          <w:noProof/>
        </w:rPr>
        <w:t>and/</w:t>
      </w:r>
      <w:r w:rsidR="00C22E50" w:rsidRPr="0095119E">
        <w:rPr>
          <w:noProof/>
        </w:rPr>
        <w:t>or a lack of awareness of academic issues</w:t>
      </w:r>
      <w:r w:rsidR="008076AB" w:rsidRPr="0095119E">
        <w:rPr>
          <w:noProof/>
        </w:rPr>
        <w:t xml:space="preserve"> and risks</w:t>
      </w:r>
      <w:r w:rsidR="007F5505" w:rsidRPr="0095119E">
        <w:rPr>
          <w:noProof/>
        </w:rPr>
        <w:t xml:space="preserve"> </w:t>
      </w:r>
    </w:p>
    <w:p w14:paraId="7E2C8E8E" w14:textId="03733EFF" w:rsidR="00C61347" w:rsidRPr="0095119E" w:rsidRDefault="00806824" w:rsidP="0021773C">
      <w:pPr>
        <w:pStyle w:val="Bullet1"/>
        <w:rPr>
          <w:noProof/>
        </w:rPr>
      </w:pPr>
      <w:r w:rsidRPr="0095119E">
        <w:rPr>
          <w:noProof/>
        </w:rPr>
        <w:t xml:space="preserve">have </w:t>
      </w:r>
      <w:r w:rsidR="00C22E50" w:rsidRPr="0095119E">
        <w:rPr>
          <w:noProof/>
        </w:rPr>
        <w:t>vigilance</w:t>
      </w:r>
      <w:r w:rsidR="00532D5D" w:rsidRPr="0095119E">
        <w:rPr>
          <w:noProof/>
        </w:rPr>
        <w:t xml:space="preserve"> </w:t>
      </w:r>
      <w:r w:rsidR="00FA774F" w:rsidRPr="0095119E">
        <w:rPr>
          <w:noProof/>
        </w:rPr>
        <w:t xml:space="preserve">and good judgement </w:t>
      </w:r>
      <w:r w:rsidR="00505B2C" w:rsidRPr="0095119E">
        <w:rPr>
          <w:noProof/>
        </w:rPr>
        <w:t>when</w:t>
      </w:r>
      <w:r w:rsidR="00C22E50" w:rsidRPr="0095119E">
        <w:rPr>
          <w:noProof/>
        </w:rPr>
        <w:t xml:space="preserve"> monitoring academic and research integrity</w:t>
      </w:r>
      <w:r w:rsidR="001C1418" w:rsidRPr="0095119E">
        <w:rPr>
          <w:noProof/>
        </w:rPr>
        <w:t>.</w:t>
      </w:r>
    </w:p>
    <w:p w14:paraId="171C7F60" w14:textId="47BD5CB2" w:rsidR="007F6534" w:rsidRPr="0095119E" w:rsidRDefault="007F6534" w:rsidP="007F6534">
      <w:pPr>
        <w:pStyle w:val="Heading2"/>
        <w:rPr>
          <w:noProof/>
          <w:color w:val="004D7D"/>
        </w:rPr>
      </w:pPr>
      <w:r w:rsidRPr="0095119E">
        <w:rPr>
          <w:noProof/>
          <w:color w:val="004D7D"/>
        </w:rPr>
        <w:t xml:space="preserve">Related </w:t>
      </w:r>
      <w:r w:rsidR="001C2847">
        <w:rPr>
          <w:noProof/>
          <w:color w:val="004D7D"/>
        </w:rPr>
        <w:t>r</w:t>
      </w:r>
      <w:r w:rsidRPr="0095119E">
        <w:rPr>
          <w:noProof/>
          <w:color w:val="004D7D"/>
        </w:rPr>
        <w:t>esources</w:t>
      </w:r>
    </w:p>
    <w:p w14:paraId="6DD35B53" w14:textId="4FA6BBAD" w:rsidR="00276FEC" w:rsidRDefault="00276FEC" w:rsidP="0021773C">
      <w:pPr>
        <w:pStyle w:val="Bullet1"/>
        <w:rPr>
          <w:noProof/>
        </w:rPr>
      </w:pPr>
      <w:r>
        <w:rPr>
          <w:noProof/>
        </w:rPr>
        <w:t xml:space="preserve">Guidance Note: </w:t>
      </w:r>
      <w:hyperlink r:id="rId12" w:history="1">
        <w:r w:rsidRPr="00636C09">
          <w:rPr>
            <w:rStyle w:val="Hyperlink"/>
            <w:noProof/>
          </w:rPr>
          <w:t>Corporate Governance</w:t>
        </w:r>
      </w:hyperlink>
      <w:r>
        <w:rPr>
          <w:noProof/>
        </w:rPr>
        <w:t xml:space="preserve"> (</w:t>
      </w:r>
      <w:r w:rsidR="00636C09">
        <w:rPr>
          <w:noProof/>
        </w:rPr>
        <w:t>under review)</w:t>
      </w:r>
    </w:p>
    <w:p w14:paraId="3E0515F0" w14:textId="50F54E8D" w:rsidR="007F6534" w:rsidRPr="0095119E" w:rsidRDefault="007F6534" w:rsidP="0021773C">
      <w:pPr>
        <w:pStyle w:val="Bullet1"/>
        <w:rPr>
          <w:noProof/>
        </w:rPr>
      </w:pPr>
      <w:r w:rsidRPr="0095119E">
        <w:rPr>
          <w:noProof/>
        </w:rPr>
        <w:t xml:space="preserve">Guidance Note: Academic and Research Integrity </w:t>
      </w:r>
      <w:r w:rsidRPr="001C2847">
        <w:rPr>
          <w:noProof/>
        </w:rPr>
        <w:t>(under development)</w:t>
      </w:r>
    </w:p>
    <w:p w14:paraId="3BE67ADA" w14:textId="77777777" w:rsidR="007F6534" w:rsidRPr="0095119E" w:rsidRDefault="007F6534" w:rsidP="0021773C">
      <w:pPr>
        <w:pStyle w:val="Bullet1"/>
        <w:rPr>
          <w:noProof/>
        </w:rPr>
      </w:pPr>
      <w:r w:rsidRPr="0095119E">
        <w:rPr>
          <w:noProof/>
        </w:rPr>
        <w:t xml:space="preserve">Guidance Note: Course Design </w:t>
      </w:r>
      <w:r w:rsidRPr="001C2847">
        <w:rPr>
          <w:noProof/>
        </w:rPr>
        <w:t>(under development)</w:t>
      </w:r>
    </w:p>
    <w:p w14:paraId="41F03395" w14:textId="5B44B0F3" w:rsidR="007F6534" w:rsidRPr="0095119E" w:rsidRDefault="007F6534" w:rsidP="0021773C">
      <w:pPr>
        <w:pStyle w:val="Bullet1"/>
        <w:rPr>
          <w:noProof/>
        </w:rPr>
      </w:pPr>
      <w:r w:rsidRPr="0095119E">
        <w:rPr>
          <w:noProof/>
        </w:rPr>
        <w:t xml:space="preserve">Guidance Note: Learning Resources and </w:t>
      </w:r>
      <w:r w:rsidR="00496140" w:rsidRPr="0095119E">
        <w:rPr>
          <w:noProof/>
        </w:rPr>
        <w:t>E</w:t>
      </w:r>
      <w:r w:rsidRPr="0095119E">
        <w:rPr>
          <w:noProof/>
        </w:rPr>
        <w:t xml:space="preserve">ducational </w:t>
      </w:r>
      <w:r w:rsidR="00496140" w:rsidRPr="0095119E">
        <w:rPr>
          <w:noProof/>
        </w:rPr>
        <w:t>S</w:t>
      </w:r>
      <w:r w:rsidRPr="0095119E">
        <w:rPr>
          <w:noProof/>
        </w:rPr>
        <w:t xml:space="preserve">upport </w:t>
      </w:r>
      <w:r w:rsidRPr="001C2847">
        <w:rPr>
          <w:noProof/>
        </w:rPr>
        <w:t>(under development)</w:t>
      </w:r>
    </w:p>
    <w:p w14:paraId="6EE1F9B9" w14:textId="438C68D5" w:rsidR="007F6534" w:rsidRPr="0095119E" w:rsidRDefault="007F6534" w:rsidP="0021773C">
      <w:pPr>
        <w:pStyle w:val="Bullet1"/>
        <w:rPr>
          <w:noProof/>
        </w:rPr>
      </w:pPr>
      <w:r w:rsidRPr="0095119E">
        <w:rPr>
          <w:noProof/>
        </w:rPr>
        <w:t>Guidance Note: Learning Outcomes and Assessment</w:t>
      </w:r>
      <w:r w:rsidR="00DB161F" w:rsidRPr="0095119E">
        <w:rPr>
          <w:noProof/>
        </w:rPr>
        <w:t xml:space="preserve"> </w:t>
      </w:r>
      <w:r w:rsidR="00DB161F" w:rsidRPr="001C2847">
        <w:rPr>
          <w:noProof/>
        </w:rPr>
        <w:t>(under development)</w:t>
      </w:r>
    </w:p>
    <w:p w14:paraId="3B4F4796" w14:textId="68265428" w:rsidR="007F6534" w:rsidRPr="0095119E" w:rsidRDefault="007F6534" w:rsidP="0021773C">
      <w:pPr>
        <w:pStyle w:val="Bullet1"/>
        <w:rPr>
          <w:noProof/>
        </w:rPr>
      </w:pPr>
      <w:r w:rsidRPr="0095119E">
        <w:rPr>
          <w:noProof/>
        </w:rPr>
        <w:t xml:space="preserve">Guidance Note: Student Grievances and Complaints </w:t>
      </w:r>
      <w:r w:rsidRPr="001C2847">
        <w:rPr>
          <w:noProof/>
        </w:rPr>
        <w:t>(under development)</w:t>
      </w:r>
    </w:p>
    <w:p w14:paraId="72A242D6" w14:textId="21C7D296" w:rsidR="007F6534" w:rsidRDefault="007F6534" w:rsidP="0021773C">
      <w:pPr>
        <w:pStyle w:val="Bullet1"/>
        <w:rPr>
          <w:noProof/>
        </w:rPr>
      </w:pPr>
      <w:r w:rsidRPr="0095119E">
        <w:rPr>
          <w:noProof/>
        </w:rPr>
        <w:lastRenderedPageBreak/>
        <w:t xml:space="preserve">Guidance Note: Monitoring, Review and Improvement </w:t>
      </w:r>
      <w:r w:rsidRPr="001C2847">
        <w:rPr>
          <w:noProof/>
        </w:rPr>
        <w:t>(under development)</w:t>
      </w:r>
    </w:p>
    <w:p w14:paraId="46F3C92E" w14:textId="04EE22B1" w:rsidR="007F6534" w:rsidRPr="0095119E" w:rsidRDefault="003A5AEF" w:rsidP="007F6534">
      <w:pPr>
        <w:pStyle w:val="Bullet1"/>
        <w:rPr>
          <w:noProof/>
        </w:rPr>
      </w:pPr>
      <w:hyperlink r:id="rId13" w:history="1">
        <w:r w:rsidR="002A468E" w:rsidRPr="002E1FDB">
          <w:rPr>
            <w:rStyle w:val="Hyperlink"/>
            <w:noProof/>
          </w:rPr>
          <w:t>Guidance Note: Research and Research Training</w:t>
        </w:r>
      </w:hyperlink>
    </w:p>
    <w:p w14:paraId="4CE2BAA2" w14:textId="027A0FF1" w:rsidR="00216300" w:rsidRPr="0095119E" w:rsidRDefault="00216300" w:rsidP="00680272">
      <w:pPr>
        <w:pStyle w:val="ListParagraph"/>
        <w:ind w:left="709"/>
        <w:rPr>
          <w:rFonts w:cstheme="minorHAnsi"/>
          <w:iCs/>
          <w:noProof/>
        </w:rPr>
      </w:pPr>
    </w:p>
    <w:tbl>
      <w:tblPr>
        <w:tblW w:w="9313" w:type="dxa"/>
        <w:tblInd w:w="100" w:type="dxa"/>
        <w:tblCellMar>
          <w:left w:w="0" w:type="dxa"/>
          <w:right w:w="0" w:type="dxa"/>
        </w:tblCellMar>
        <w:tblLook w:val="04A0" w:firstRow="1" w:lastRow="0" w:firstColumn="1" w:lastColumn="0" w:noHBand="0" w:noVBand="1"/>
      </w:tblPr>
      <w:tblGrid>
        <w:gridCol w:w="1024"/>
        <w:gridCol w:w="1985"/>
        <w:gridCol w:w="6304"/>
      </w:tblGrid>
      <w:tr w:rsidR="002C533B" w:rsidRPr="0095119E" w14:paraId="1C094A8E" w14:textId="77777777" w:rsidTr="001C2847">
        <w:trPr>
          <w:trHeight w:val="156"/>
          <w:tblHeader/>
        </w:trPr>
        <w:tc>
          <w:tcPr>
            <w:tcW w:w="1024" w:type="dxa"/>
            <w:tcBorders>
              <w:top w:val="single" w:sz="8" w:space="0" w:color="999999"/>
              <w:left w:val="single" w:sz="8" w:space="0" w:color="999999"/>
              <w:bottom w:val="single" w:sz="8" w:space="0" w:color="999999"/>
              <w:right w:val="single" w:sz="8" w:space="0" w:color="999999"/>
            </w:tcBorders>
            <w:shd w:val="clear" w:color="auto" w:fill="004E7D"/>
            <w:tcMar>
              <w:top w:w="100" w:type="dxa"/>
              <w:left w:w="100" w:type="dxa"/>
              <w:bottom w:w="100" w:type="dxa"/>
              <w:right w:w="100" w:type="dxa"/>
            </w:tcMar>
            <w:hideMark/>
          </w:tcPr>
          <w:p w14:paraId="07AADC21" w14:textId="5692C860" w:rsidR="002C533B" w:rsidRPr="0095119E" w:rsidRDefault="002C533B">
            <w:pPr>
              <w:pStyle w:val="Normal1"/>
              <w:spacing w:line="240" w:lineRule="auto"/>
              <w:rPr>
                <w:b/>
                <w:noProof/>
                <w:color w:val="E7E6E6" w:themeColor="background2"/>
                <w:sz w:val="20"/>
                <w:szCs w:val="20"/>
              </w:rPr>
            </w:pPr>
            <w:r w:rsidRPr="0095119E">
              <w:rPr>
                <w:b/>
                <w:noProof/>
                <w:color w:val="E7E6E6" w:themeColor="background2"/>
                <w:sz w:val="20"/>
                <w:szCs w:val="20"/>
              </w:rPr>
              <w:t xml:space="preserve">Version </w:t>
            </w:r>
          </w:p>
        </w:tc>
        <w:tc>
          <w:tcPr>
            <w:tcW w:w="1985" w:type="dxa"/>
            <w:tcBorders>
              <w:top w:val="single" w:sz="8" w:space="0" w:color="999999"/>
              <w:left w:val="nil"/>
              <w:bottom w:val="single" w:sz="8" w:space="0" w:color="999999"/>
              <w:right w:val="single" w:sz="8" w:space="0" w:color="999999"/>
            </w:tcBorders>
            <w:shd w:val="clear" w:color="auto" w:fill="004E7D"/>
            <w:tcMar>
              <w:top w:w="100" w:type="dxa"/>
              <w:left w:w="100" w:type="dxa"/>
              <w:bottom w:w="100" w:type="dxa"/>
              <w:right w:w="100" w:type="dxa"/>
            </w:tcMar>
            <w:hideMark/>
          </w:tcPr>
          <w:p w14:paraId="40CB8913" w14:textId="77777777" w:rsidR="002C533B" w:rsidRPr="0095119E" w:rsidRDefault="002C533B">
            <w:pPr>
              <w:pStyle w:val="Normal1"/>
              <w:spacing w:line="240" w:lineRule="auto"/>
              <w:rPr>
                <w:b/>
                <w:noProof/>
                <w:color w:val="E7E6E6" w:themeColor="background2"/>
                <w:sz w:val="20"/>
                <w:szCs w:val="20"/>
              </w:rPr>
            </w:pPr>
            <w:r w:rsidRPr="0095119E">
              <w:rPr>
                <w:b/>
                <w:noProof/>
                <w:color w:val="E7E6E6" w:themeColor="background2"/>
                <w:sz w:val="20"/>
                <w:szCs w:val="20"/>
              </w:rPr>
              <w:t>Date</w:t>
            </w:r>
          </w:p>
        </w:tc>
        <w:tc>
          <w:tcPr>
            <w:tcW w:w="6304" w:type="dxa"/>
            <w:tcBorders>
              <w:top w:val="single" w:sz="8" w:space="0" w:color="999999"/>
              <w:left w:val="nil"/>
              <w:bottom w:val="single" w:sz="8" w:space="0" w:color="999999"/>
              <w:right w:val="single" w:sz="8" w:space="0" w:color="999999"/>
            </w:tcBorders>
            <w:shd w:val="clear" w:color="auto" w:fill="004E7D"/>
            <w:tcMar>
              <w:top w:w="100" w:type="dxa"/>
              <w:left w:w="100" w:type="dxa"/>
              <w:bottom w:w="100" w:type="dxa"/>
              <w:right w:w="100" w:type="dxa"/>
            </w:tcMar>
            <w:hideMark/>
          </w:tcPr>
          <w:p w14:paraId="5B566263" w14:textId="77777777" w:rsidR="002C533B" w:rsidRPr="0095119E" w:rsidRDefault="002C533B">
            <w:pPr>
              <w:pStyle w:val="Normal1"/>
              <w:spacing w:line="240" w:lineRule="auto"/>
              <w:rPr>
                <w:b/>
                <w:noProof/>
                <w:color w:val="E7E6E6" w:themeColor="background2"/>
                <w:sz w:val="20"/>
                <w:szCs w:val="20"/>
              </w:rPr>
            </w:pPr>
            <w:r w:rsidRPr="0095119E">
              <w:rPr>
                <w:b/>
                <w:noProof/>
                <w:color w:val="E7E6E6" w:themeColor="background2"/>
                <w:sz w:val="20"/>
                <w:szCs w:val="20"/>
              </w:rPr>
              <w:t>Key changes</w:t>
            </w:r>
          </w:p>
        </w:tc>
      </w:tr>
      <w:tr w:rsidR="002C533B" w:rsidRPr="0095119E" w14:paraId="73A3DB91" w14:textId="77777777" w:rsidTr="001C1418">
        <w:trPr>
          <w:trHeight w:val="166"/>
        </w:trPr>
        <w:tc>
          <w:tcPr>
            <w:tcW w:w="1024" w:type="dxa"/>
            <w:tcBorders>
              <w:top w:val="nil"/>
              <w:left w:val="single" w:sz="8" w:space="0" w:color="000000"/>
              <w:bottom w:val="single" w:sz="4" w:space="0" w:color="auto"/>
              <w:right w:val="single" w:sz="8" w:space="0" w:color="000000"/>
            </w:tcBorders>
            <w:tcMar>
              <w:top w:w="100" w:type="dxa"/>
              <w:left w:w="100" w:type="dxa"/>
              <w:bottom w:w="100" w:type="dxa"/>
              <w:right w:w="100" w:type="dxa"/>
            </w:tcMar>
            <w:hideMark/>
          </w:tcPr>
          <w:p w14:paraId="2B7DF437" w14:textId="77777777" w:rsidR="002C533B" w:rsidRPr="0095119E" w:rsidRDefault="002C533B">
            <w:pPr>
              <w:pStyle w:val="Normal1"/>
              <w:spacing w:line="240" w:lineRule="auto"/>
              <w:rPr>
                <w:noProof/>
                <w:sz w:val="20"/>
                <w:szCs w:val="20"/>
              </w:rPr>
            </w:pPr>
            <w:r w:rsidRPr="0095119E">
              <w:rPr>
                <w:noProof/>
                <w:sz w:val="20"/>
                <w:szCs w:val="20"/>
              </w:rPr>
              <w:t>1.0</w:t>
            </w:r>
          </w:p>
        </w:tc>
        <w:tc>
          <w:tcPr>
            <w:tcW w:w="1985" w:type="dxa"/>
            <w:tcBorders>
              <w:top w:val="nil"/>
              <w:left w:val="nil"/>
              <w:bottom w:val="single" w:sz="4" w:space="0" w:color="auto"/>
              <w:right w:val="single" w:sz="8" w:space="0" w:color="000000"/>
            </w:tcBorders>
            <w:tcMar>
              <w:top w:w="100" w:type="dxa"/>
              <w:left w:w="100" w:type="dxa"/>
              <w:bottom w:w="100" w:type="dxa"/>
              <w:right w:w="100" w:type="dxa"/>
            </w:tcMar>
            <w:hideMark/>
          </w:tcPr>
          <w:p w14:paraId="1A0EB886" w14:textId="77777777" w:rsidR="002C533B" w:rsidRPr="0095119E" w:rsidRDefault="002C533B">
            <w:pPr>
              <w:pStyle w:val="Normal1"/>
              <w:spacing w:line="240" w:lineRule="auto"/>
              <w:rPr>
                <w:noProof/>
                <w:sz w:val="20"/>
                <w:szCs w:val="20"/>
              </w:rPr>
            </w:pPr>
            <w:r w:rsidRPr="0095119E">
              <w:rPr>
                <w:noProof/>
                <w:sz w:val="20"/>
                <w:szCs w:val="20"/>
              </w:rPr>
              <w:t>18 September 2014</w:t>
            </w:r>
          </w:p>
        </w:tc>
        <w:tc>
          <w:tcPr>
            <w:tcW w:w="6304" w:type="dxa"/>
            <w:tcBorders>
              <w:top w:val="nil"/>
              <w:left w:val="nil"/>
              <w:bottom w:val="single" w:sz="4" w:space="0" w:color="auto"/>
              <w:right w:val="single" w:sz="8" w:space="0" w:color="000000"/>
            </w:tcBorders>
            <w:tcMar>
              <w:top w:w="100" w:type="dxa"/>
              <w:left w:w="100" w:type="dxa"/>
              <w:bottom w:w="100" w:type="dxa"/>
              <w:right w:w="100" w:type="dxa"/>
            </w:tcMar>
          </w:tcPr>
          <w:p w14:paraId="41C9BEA7" w14:textId="77777777" w:rsidR="002C533B" w:rsidRPr="0095119E" w:rsidRDefault="002C533B">
            <w:pPr>
              <w:pStyle w:val="Normal1"/>
              <w:spacing w:line="240" w:lineRule="auto"/>
              <w:rPr>
                <w:noProof/>
                <w:sz w:val="20"/>
                <w:szCs w:val="20"/>
              </w:rPr>
            </w:pPr>
          </w:p>
        </w:tc>
      </w:tr>
      <w:tr w:rsidR="002C533B" w:rsidRPr="0095119E" w14:paraId="7469D8D3" w14:textId="77777777" w:rsidTr="001C1418">
        <w:trPr>
          <w:trHeight w:val="313"/>
        </w:trPr>
        <w:tc>
          <w:tcPr>
            <w:tcW w:w="102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14:paraId="702B2DC7" w14:textId="77777777" w:rsidR="002C533B" w:rsidRPr="0095119E" w:rsidRDefault="002C533B">
            <w:pPr>
              <w:pStyle w:val="Normal1"/>
              <w:spacing w:line="240" w:lineRule="auto"/>
              <w:rPr>
                <w:noProof/>
                <w:sz w:val="20"/>
                <w:szCs w:val="20"/>
              </w:rPr>
            </w:pPr>
            <w:r w:rsidRPr="0095119E">
              <w:rPr>
                <w:noProof/>
                <w:sz w:val="20"/>
                <w:szCs w:val="20"/>
              </w:rPr>
              <w:t>2.0</w:t>
            </w:r>
          </w:p>
        </w:tc>
        <w:tc>
          <w:tcPr>
            <w:tcW w:w="1985"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14:paraId="43881EE8" w14:textId="77777777" w:rsidR="002C533B" w:rsidRPr="0095119E" w:rsidRDefault="002C533B">
            <w:pPr>
              <w:pStyle w:val="Normal1"/>
              <w:spacing w:line="240" w:lineRule="auto"/>
              <w:rPr>
                <w:noProof/>
                <w:sz w:val="20"/>
                <w:szCs w:val="20"/>
                <w:highlight w:val="yellow"/>
              </w:rPr>
            </w:pPr>
            <w:r w:rsidRPr="0095119E">
              <w:rPr>
                <w:noProof/>
                <w:sz w:val="20"/>
                <w:szCs w:val="20"/>
              </w:rPr>
              <w:t>13 April 2016</w:t>
            </w:r>
          </w:p>
        </w:tc>
        <w:tc>
          <w:tcPr>
            <w:tcW w:w="6304"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14:paraId="58168E9C" w14:textId="77777777" w:rsidR="002C533B" w:rsidRPr="0095119E" w:rsidRDefault="002C533B">
            <w:pPr>
              <w:pStyle w:val="Normal1"/>
              <w:spacing w:line="240" w:lineRule="auto"/>
              <w:rPr>
                <w:noProof/>
                <w:sz w:val="20"/>
                <w:szCs w:val="20"/>
              </w:rPr>
            </w:pPr>
            <w:r w:rsidRPr="0095119E">
              <w:rPr>
                <w:noProof/>
                <w:sz w:val="20"/>
                <w:szCs w:val="20"/>
              </w:rPr>
              <w:t>Updated for the HESF 2015 and made available as beta version for consultation.</w:t>
            </w:r>
          </w:p>
        </w:tc>
      </w:tr>
      <w:tr w:rsidR="002C533B" w:rsidRPr="0095119E" w14:paraId="25800A80" w14:textId="77777777" w:rsidTr="001C1418">
        <w:trPr>
          <w:trHeight w:val="470"/>
        </w:trPr>
        <w:tc>
          <w:tcPr>
            <w:tcW w:w="102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14:paraId="1BB014E9" w14:textId="77777777" w:rsidR="002C533B" w:rsidRPr="0095119E" w:rsidRDefault="002C533B">
            <w:pPr>
              <w:pStyle w:val="Normal1"/>
              <w:spacing w:line="240" w:lineRule="auto"/>
              <w:rPr>
                <w:noProof/>
                <w:sz w:val="20"/>
                <w:szCs w:val="20"/>
              </w:rPr>
            </w:pPr>
            <w:r w:rsidRPr="0095119E">
              <w:rPr>
                <w:noProof/>
                <w:sz w:val="20"/>
                <w:szCs w:val="20"/>
              </w:rPr>
              <w:t>2.1</w:t>
            </w:r>
          </w:p>
        </w:tc>
        <w:tc>
          <w:tcPr>
            <w:tcW w:w="1985"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14:paraId="4D1EE4AB" w14:textId="77777777" w:rsidR="002C533B" w:rsidRPr="0095119E" w:rsidRDefault="002C533B">
            <w:pPr>
              <w:pStyle w:val="Normal1"/>
              <w:spacing w:line="240" w:lineRule="auto"/>
              <w:rPr>
                <w:noProof/>
                <w:sz w:val="20"/>
                <w:szCs w:val="20"/>
                <w:highlight w:val="yellow"/>
              </w:rPr>
            </w:pPr>
            <w:r w:rsidRPr="0095119E">
              <w:rPr>
                <w:noProof/>
                <w:sz w:val="20"/>
                <w:szCs w:val="20"/>
              </w:rPr>
              <w:t>19 August 2016</w:t>
            </w:r>
          </w:p>
        </w:tc>
        <w:tc>
          <w:tcPr>
            <w:tcW w:w="6304"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14:paraId="35374C8A" w14:textId="77777777" w:rsidR="002C533B" w:rsidRPr="0095119E" w:rsidRDefault="002C533B">
            <w:pPr>
              <w:pStyle w:val="Normal1"/>
              <w:spacing w:line="240" w:lineRule="auto"/>
              <w:rPr>
                <w:noProof/>
                <w:sz w:val="20"/>
                <w:szCs w:val="20"/>
              </w:rPr>
            </w:pPr>
            <w:r w:rsidRPr="0095119E">
              <w:rPr>
                <w:noProof/>
                <w:sz w:val="20"/>
                <w:szCs w:val="20"/>
              </w:rPr>
              <w:t>Incorporated feedback from consultation, including elaboration on academic approval body membership and periodic course review.</w:t>
            </w:r>
          </w:p>
        </w:tc>
      </w:tr>
      <w:tr w:rsidR="00970B0F" w:rsidRPr="0095119E" w14:paraId="526CD286" w14:textId="77777777" w:rsidTr="001C1418">
        <w:trPr>
          <w:trHeight w:val="322"/>
        </w:trPr>
        <w:tc>
          <w:tcPr>
            <w:tcW w:w="102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C1F851A" w14:textId="77777777" w:rsidR="00970B0F" w:rsidRPr="0095119E" w:rsidRDefault="00970B0F">
            <w:pPr>
              <w:pStyle w:val="Normal1"/>
              <w:spacing w:line="240" w:lineRule="auto"/>
              <w:rPr>
                <w:noProof/>
                <w:sz w:val="20"/>
                <w:szCs w:val="20"/>
              </w:rPr>
            </w:pPr>
            <w:r w:rsidRPr="0095119E">
              <w:rPr>
                <w:noProof/>
                <w:sz w:val="20"/>
                <w:szCs w:val="20"/>
              </w:rPr>
              <w:t>2.2</w:t>
            </w:r>
          </w:p>
        </w:tc>
        <w:tc>
          <w:tcPr>
            <w:tcW w:w="1985"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041FD8E" w14:textId="77777777" w:rsidR="00970B0F" w:rsidRPr="0095119E" w:rsidRDefault="00970B0F">
            <w:pPr>
              <w:pStyle w:val="Normal1"/>
              <w:spacing w:line="240" w:lineRule="auto"/>
              <w:rPr>
                <w:noProof/>
                <w:sz w:val="20"/>
                <w:szCs w:val="20"/>
              </w:rPr>
            </w:pPr>
            <w:r w:rsidRPr="0095119E">
              <w:rPr>
                <w:noProof/>
                <w:sz w:val="20"/>
                <w:szCs w:val="20"/>
              </w:rPr>
              <w:t>28 September 2017</w:t>
            </w:r>
          </w:p>
        </w:tc>
        <w:tc>
          <w:tcPr>
            <w:tcW w:w="630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1EA8F286" w14:textId="77777777" w:rsidR="00970B0F" w:rsidRPr="0095119E" w:rsidRDefault="00970B0F">
            <w:pPr>
              <w:pStyle w:val="Normal1"/>
              <w:spacing w:line="240" w:lineRule="auto"/>
              <w:rPr>
                <w:noProof/>
                <w:sz w:val="20"/>
                <w:szCs w:val="20"/>
              </w:rPr>
            </w:pPr>
            <w:r w:rsidRPr="0095119E">
              <w:rPr>
                <w:noProof/>
                <w:sz w:val="20"/>
                <w:szCs w:val="20"/>
              </w:rPr>
              <w:t>Inclusion of Chairs of Academic Boards Forum website to resources.</w:t>
            </w:r>
          </w:p>
        </w:tc>
      </w:tr>
      <w:tr w:rsidR="00D30ACE" w:rsidRPr="0095119E" w14:paraId="6F2B48C2" w14:textId="77777777" w:rsidTr="001C1418">
        <w:trPr>
          <w:trHeight w:val="156"/>
        </w:trPr>
        <w:tc>
          <w:tcPr>
            <w:tcW w:w="102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3D54256" w14:textId="77777777" w:rsidR="00D30ACE" w:rsidRPr="0095119E" w:rsidRDefault="00D30ACE">
            <w:pPr>
              <w:pStyle w:val="Normal1"/>
              <w:spacing w:line="240" w:lineRule="auto"/>
              <w:rPr>
                <w:noProof/>
                <w:sz w:val="20"/>
                <w:szCs w:val="20"/>
              </w:rPr>
            </w:pPr>
            <w:r w:rsidRPr="0095119E">
              <w:rPr>
                <w:noProof/>
                <w:sz w:val="20"/>
                <w:szCs w:val="20"/>
              </w:rPr>
              <w:t>2.3</w:t>
            </w:r>
          </w:p>
        </w:tc>
        <w:tc>
          <w:tcPr>
            <w:tcW w:w="1985"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175EA70D" w14:textId="77777777" w:rsidR="00D30ACE" w:rsidRPr="0095119E" w:rsidRDefault="006E2647">
            <w:pPr>
              <w:pStyle w:val="Normal1"/>
              <w:spacing w:line="240" w:lineRule="auto"/>
              <w:rPr>
                <w:noProof/>
                <w:sz w:val="20"/>
                <w:szCs w:val="20"/>
              </w:rPr>
            </w:pPr>
            <w:r w:rsidRPr="0095119E">
              <w:rPr>
                <w:noProof/>
                <w:sz w:val="20"/>
                <w:szCs w:val="20"/>
              </w:rPr>
              <w:t>11 October 2017</w:t>
            </w:r>
          </w:p>
        </w:tc>
        <w:tc>
          <w:tcPr>
            <w:tcW w:w="630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53B4DFA" w14:textId="77777777" w:rsidR="00D30ACE" w:rsidRPr="0095119E" w:rsidRDefault="00D30ACE" w:rsidP="00880616">
            <w:pPr>
              <w:pStyle w:val="Normal1"/>
              <w:spacing w:line="240" w:lineRule="auto"/>
              <w:rPr>
                <w:noProof/>
                <w:sz w:val="20"/>
                <w:szCs w:val="20"/>
              </w:rPr>
            </w:pPr>
            <w:r w:rsidRPr="0095119E">
              <w:rPr>
                <w:noProof/>
                <w:sz w:val="20"/>
                <w:szCs w:val="20"/>
              </w:rPr>
              <w:t xml:space="preserve">Minor amendment </w:t>
            </w:r>
            <w:r w:rsidR="00537E5A" w:rsidRPr="0095119E">
              <w:rPr>
                <w:noProof/>
                <w:sz w:val="20"/>
                <w:szCs w:val="20"/>
              </w:rPr>
              <w:t>to</w:t>
            </w:r>
            <w:r w:rsidRPr="0095119E">
              <w:rPr>
                <w:noProof/>
                <w:sz w:val="20"/>
                <w:szCs w:val="20"/>
              </w:rPr>
              <w:t xml:space="preserve"> ‘what</w:t>
            </w:r>
            <w:r w:rsidR="00880616" w:rsidRPr="0095119E">
              <w:rPr>
                <w:noProof/>
                <w:sz w:val="20"/>
                <w:szCs w:val="20"/>
              </w:rPr>
              <w:t xml:space="preserve"> will</w:t>
            </w:r>
            <w:r w:rsidRPr="0095119E">
              <w:rPr>
                <w:noProof/>
                <w:sz w:val="20"/>
                <w:szCs w:val="20"/>
              </w:rPr>
              <w:t xml:space="preserve"> TEQSA look for</w:t>
            </w:r>
            <w:r w:rsidR="00880616" w:rsidRPr="0095119E">
              <w:rPr>
                <w:noProof/>
                <w:sz w:val="20"/>
                <w:szCs w:val="20"/>
              </w:rPr>
              <w:t>?</w:t>
            </w:r>
            <w:r w:rsidRPr="0095119E">
              <w:rPr>
                <w:noProof/>
                <w:sz w:val="20"/>
                <w:szCs w:val="20"/>
              </w:rPr>
              <w:t>”</w:t>
            </w:r>
            <w:r w:rsidR="00880616" w:rsidRPr="0095119E">
              <w:rPr>
                <w:noProof/>
                <w:sz w:val="20"/>
                <w:szCs w:val="20"/>
              </w:rPr>
              <w:t xml:space="preserve"> text box.</w:t>
            </w:r>
          </w:p>
        </w:tc>
      </w:tr>
      <w:tr w:rsidR="009F6E2C" w:rsidRPr="0095119E" w14:paraId="072F0300" w14:textId="77777777" w:rsidTr="001C1418">
        <w:trPr>
          <w:trHeight w:val="156"/>
        </w:trPr>
        <w:tc>
          <w:tcPr>
            <w:tcW w:w="102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0CC6506" w14:textId="24AD2931" w:rsidR="009F6E2C" w:rsidRPr="0095119E" w:rsidRDefault="000D5063">
            <w:pPr>
              <w:pStyle w:val="Normal1"/>
              <w:spacing w:line="240" w:lineRule="auto"/>
              <w:rPr>
                <w:noProof/>
                <w:sz w:val="20"/>
                <w:szCs w:val="20"/>
              </w:rPr>
            </w:pPr>
            <w:r w:rsidRPr="0095119E">
              <w:rPr>
                <w:noProof/>
                <w:sz w:val="20"/>
                <w:szCs w:val="20"/>
              </w:rPr>
              <w:t>3.0</w:t>
            </w:r>
          </w:p>
        </w:tc>
        <w:tc>
          <w:tcPr>
            <w:tcW w:w="1985"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C4C61CF" w14:textId="16B37909" w:rsidR="009F6E2C" w:rsidRPr="0095119E" w:rsidRDefault="001C2847">
            <w:pPr>
              <w:pStyle w:val="Normal1"/>
              <w:spacing w:line="240" w:lineRule="auto"/>
              <w:rPr>
                <w:noProof/>
                <w:sz w:val="20"/>
                <w:szCs w:val="20"/>
              </w:rPr>
            </w:pPr>
            <w:r w:rsidRPr="001C2847">
              <w:rPr>
                <w:noProof/>
                <w:sz w:val="20"/>
                <w:szCs w:val="20"/>
              </w:rPr>
              <w:t>7 July 2023</w:t>
            </w:r>
          </w:p>
        </w:tc>
        <w:tc>
          <w:tcPr>
            <w:tcW w:w="630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095118BF" w14:textId="0C168357" w:rsidR="009F6E2C" w:rsidRPr="0095119E" w:rsidRDefault="009F6E2C" w:rsidP="00880616">
            <w:pPr>
              <w:pStyle w:val="Normal1"/>
              <w:spacing w:line="240" w:lineRule="auto"/>
              <w:rPr>
                <w:noProof/>
                <w:sz w:val="20"/>
                <w:szCs w:val="20"/>
              </w:rPr>
            </w:pPr>
            <w:r w:rsidRPr="0095119E">
              <w:rPr>
                <w:noProof/>
                <w:sz w:val="20"/>
                <w:szCs w:val="20"/>
              </w:rPr>
              <w:t>Major revision</w:t>
            </w:r>
            <w:r w:rsidR="001C2847">
              <w:rPr>
                <w:noProof/>
                <w:sz w:val="20"/>
                <w:szCs w:val="20"/>
              </w:rPr>
              <w:t>.</w:t>
            </w:r>
          </w:p>
        </w:tc>
      </w:tr>
      <w:tr w:rsidR="001C2847" w:rsidRPr="0095119E" w14:paraId="6B380319" w14:textId="77777777" w:rsidTr="001C1418">
        <w:trPr>
          <w:trHeight w:val="156"/>
        </w:trPr>
        <w:tc>
          <w:tcPr>
            <w:tcW w:w="102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541C54A" w14:textId="1B3138BC" w:rsidR="001C2847" w:rsidRPr="0095119E" w:rsidRDefault="001C2847">
            <w:pPr>
              <w:pStyle w:val="Normal1"/>
              <w:spacing w:line="240" w:lineRule="auto"/>
              <w:rPr>
                <w:noProof/>
                <w:sz w:val="20"/>
                <w:szCs w:val="20"/>
              </w:rPr>
            </w:pPr>
            <w:r>
              <w:rPr>
                <w:noProof/>
                <w:sz w:val="20"/>
                <w:szCs w:val="20"/>
              </w:rPr>
              <w:t>3.1</w:t>
            </w:r>
          </w:p>
        </w:tc>
        <w:tc>
          <w:tcPr>
            <w:tcW w:w="1985"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073A852C" w14:textId="6D6014CD" w:rsidR="001C2847" w:rsidRPr="001C2847" w:rsidRDefault="001C2847">
            <w:pPr>
              <w:pStyle w:val="Normal1"/>
              <w:spacing w:line="240" w:lineRule="auto"/>
              <w:rPr>
                <w:noProof/>
                <w:sz w:val="20"/>
                <w:szCs w:val="20"/>
              </w:rPr>
            </w:pPr>
            <w:r>
              <w:rPr>
                <w:noProof/>
                <w:sz w:val="20"/>
                <w:szCs w:val="20"/>
              </w:rPr>
              <w:t>30 November 2023</w:t>
            </w:r>
          </w:p>
        </w:tc>
        <w:tc>
          <w:tcPr>
            <w:tcW w:w="630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B13A1ED" w14:textId="56B962EA" w:rsidR="001C2847" w:rsidRPr="0095119E" w:rsidRDefault="001C2847" w:rsidP="00880616">
            <w:pPr>
              <w:pStyle w:val="Normal1"/>
              <w:spacing w:line="240" w:lineRule="auto"/>
              <w:rPr>
                <w:noProof/>
                <w:sz w:val="20"/>
                <w:szCs w:val="20"/>
              </w:rPr>
            </w:pPr>
            <w:r>
              <w:rPr>
                <w:noProof/>
                <w:sz w:val="20"/>
                <w:szCs w:val="20"/>
              </w:rPr>
              <w:t>Update of the ‘</w:t>
            </w:r>
            <w:r w:rsidRPr="001C2847">
              <w:rPr>
                <w:noProof/>
                <w:sz w:val="20"/>
                <w:szCs w:val="20"/>
              </w:rPr>
              <w:t>Relationship between corporate and academic governance</w:t>
            </w:r>
            <w:r>
              <w:rPr>
                <w:noProof/>
                <w:sz w:val="20"/>
                <w:szCs w:val="20"/>
              </w:rPr>
              <w:t>’ section.</w:t>
            </w:r>
          </w:p>
        </w:tc>
      </w:tr>
    </w:tbl>
    <w:p w14:paraId="6A932B9E" w14:textId="77777777" w:rsidR="006C328D" w:rsidRPr="0095119E" w:rsidRDefault="002C533B" w:rsidP="005816BE">
      <w:pPr>
        <w:tabs>
          <w:tab w:val="left" w:pos="6105"/>
        </w:tabs>
        <w:rPr>
          <w:noProof/>
        </w:rPr>
      </w:pPr>
      <w:r w:rsidRPr="0095119E">
        <w:rPr>
          <w:rFonts w:cstheme="minorHAnsi"/>
          <w:noProof/>
        </w:rPr>
        <w:tab/>
      </w:r>
    </w:p>
    <w:sectPr w:rsidR="006C328D" w:rsidRPr="0095119E" w:rsidSect="00662235">
      <w:headerReference w:type="even" r:id="rId14"/>
      <w:headerReference w:type="default" r:id="rId15"/>
      <w:footerReference w:type="even" r:id="rId16"/>
      <w:footerReference w:type="default" r:id="rId17"/>
      <w:headerReference w:type="first" r:id="rId18"/>
      <w:footerReference w:type="first" r:id="rId19"/>
      <w:pgSz w:w="11906" w:h="16838"/>
      <w:pgMar w:top="1985"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E470A" w14:textId="77777777" w:rsidR="001C19E7" w:rsidRDefault="001C19E7" w:rsidP="006C328D">
      <w:pPr>
        <w:spacing w:before="0" w:after="0"/>
      </w:pPr>
      <w:r>
        <w:separator/>
      </w:r>
    </w:p>
  </w:endnote>
  <w:endnote w:type="continuationSeparator" w:id="0">
    <w:p w14:paraId="1FD6F63A" w14:textId="77777777" w:rsidR="001C19E7" w:rsidRDefault="001C19E7" w:rsidP="006C328D">
      <w:pPr>
        <w:spacing w:before="0" w:after="0"/>
      </w:pPr>
      <w:r>
        <w:continuationSeparator/>
      </w:r>
    </w:p>
  </w:endnote>
  <w:endnote w:type="continuationNotice" w:id="1">
    <w:p w14:paraId="6090D393" w14:textId="77777777" w:rsidR="001C19E7" w:rsidRDefault="001C19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7599" w14:textId="00A0D47A" w:rsidR="002E0CBB" w:rsidRDefault="00E33240">
    <w:pPr>
      <w:pStyle w:val="Footer"/>
    </w:pPr>
    <w:r>
      <w:rPr>
        <w:noProof/>
      </w:rPr>
      <mc:AlternateContent>
        <mc:Choice Requires="wps">
          <w:drawing>
            <wp:anchor distT="0" distB="0" distL="114300" distR="114300" simplePos="0" relativeHeight="251664389" behindDoc="0" locked="1" layoutInCell="0" allowOverlap="1" wp14:anchorId="75741043" wp14:editId="0CB78D0A">
              <wp:simplePos x="0" y="0"/>
              <wp:positionH relativeFrom="margin">
                <wp:align>center</wp:align>
              </wp:positionH>
              <wp:positionV relativeFrom="bottomMargin">
                <wp:align>center</wp:align>
              </wp:positionV>
              <wp:extent cx="892175" cy="273050"/>
              <wp:effectExtent l="0" t="0" r="0" b="0"/>
              <wp:wrapNone/>
              <wp:docPr id="946695416"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C019B" w14:textId="5F3027D5" w:rsidR="00E33240" w:rsidRPr="00E33240" w:rsidRDefault="00E33240" w:rsidP="00E33240">
                          <w:pPr>
                            <w:spacing w:before="0" w:after="0"/>
                            <w:jc w:val="center"/>
                            <w:rPr>
                              <w:b/>
                              <w:color w:val="FF0000"/>
                              <w:sz w:val="24"/>
                            </w:rPr>
                          </w:pPr>
                          <w:r w:rsidRPr="00E33240">
                            <w:rPr>
                              <w:b/>
                              <w:color w:val="FF0000"/>
                              <w:sz w:val="24"/>
                            </w:rPr>
                            <w:fldChar w:fldCharType="begin"/>
                          </w:r>
                          <w:r w:rsidRPr="00E33240">
                            <w:rPr>
                              <w:b/>
                              <w:color w:val="FF0000"/>
                              <w:sz w:val="24"/>
                            </w:rPr>
                            <w:instrText xml:space="preserve"> DOCPROPERTY PM_ProtectiveMarkingValue_Footer \* MERGEFORMAT </w:instrText>
                          </w:r>
                          <w:r w:rsidRPr="00E33240">
                            <w:rPr>
                              <w:b/>
                              <w:color w:val="FF0000"/>
                              <w:sz w:val="24"/>
                            </w:rPr>
                            <w:fldChar w:fldCharType="separate"/>
                          </w:r>
                          <w:r w:rsidR="00EE0CD9">
                            <w:rPr>
                              <w:b/>
                              <w:color w:val="FF0000"/>
                              <w:sz w:val="24"/>
                            </w:rPr>
                            <w:t>OFFICIAL</w:t>
                          </w:r>
                          <w:r w:rsidRPr="00E3324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5741043" id="_x0000_t202" coordsize="21600,21600" o:spt="202" path="m,l,21600r21600,l21600,xe">
              <v:stroke joinstyle="miter"/>
              <v:path gradientshapeok="t" o:connecttype="rect"/>
            </v:shapetype>
            <v:shape id="janusSEAL SC F_EvenPage" o:spid="_x0000_s1030" type="#_x0000_t202" style="position:absolute;margin-left:0;margin-top:0;width:70.25pt;height:21.5pt;z-index:25166438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CIS9GQIAADAEAAAOAAAAAAAAAAAAAAAAAC4CAABkcnMvZTJvRG9jLnhtbFBLAQItABQABgAI&#10;AAAAIQBpOk852wAAAAQBAAAPAAAAAAAAAAAAAAAAAHMEAABkcnMvZG93bnJldi54bWxQSwUGAAAA&#10;AAQABADzAAAAewUAAAAA&#10;" o:allowincell="f" filled="f" stroked="f" strokeweight=".5pt">
              <v:textbox style="mso-fit-shape-to-text:t">
                <w:txbxContent>
                  <w:p w14:paraId="75EC019B" w14:textId="5F3027D5" w:rsidR="00E33240" w:rsidRPr="00E33240" w:rsidRDefault="00E33240" w:rsidP="00E33240">
                    <w:pPr>
                      <w:spacing w:before="0" w:after="0"/>
                      <w:jc w:val="center"/>
                      <w:rPr>
                        <w:b/>
                        <w:color w:val="FF0000"/>
                        <w:sz w:val="24"/>
                      </w:rPr>
                    </w:pPr>
                    <w:r w:rsidRPr="00E33240">
                      <w:rPr>
                        <w:b/>
                        <w:color w:val="FF0000"/>
                        <w:sz w:val="24"/>
                      </w:rPr>
                      <w:fldChar w:fldCharType="begin"/>
                    </w:r>
                    <w:r w:rsidRPr="00E33240">
                      <w:rPr>
                        <w:b/>
                        <w:color w:val="FF0000"/>
                        <w:sz w:val="24"/>
                      </w:rPr>
                      <w:instrText xml:space="preserve"> DOCPROPERTY PM_ProtectiveMarkingValue_Footer \* MERGEFORMAT </w:instrText>
                    </w:r>
                    <w:r w:rsidRPr="00E33240">
                      <w:rPr>
                        <w:b/>
                        <w:color w:val="FF0000"/>
                        <w:sz w:val="24"/>
                      </w:rPr>
                      <w:fldChar w:fldCharType="separate"/>
                    </w:r>
                    <w:r w:rsidR="00EE0CD9">
                      <w:rPr>
                        <w:b/>
                        <w:color w:val="FF0000"/>
                        <w:sz w:val="24"/>
                      </w:rPr>
                      <w:t>OFFICIAL</w:t>
                    </w:r>
                    <w:r w:rsidRPr="00E33240">
                      <w:rPr>
                        <w:b/>
                        <w:color w:val="FF0000"/>
                        <w:sz w:val="24"/>
                      </w:rPr>
                      <w:fldChar w:fldCharType="end"/>
                    </w:r>
                  </w:p>
                </w:txbxContent>
              </v:textbox>
              <w10:wrap anchorx="margin" anchory="margin"/>
              <w10:anchorlock/>
            </v:shape>
          </w:pict>
        </mc:Fallback>
      </mc:AlternateContent>
    </w:r>
    <w:r w:rsidR="002E0CBB">
      <w:rPr>
        <w:noProof/>
      </w:rPr>
      <mc:AlternateContent>
        <mc:Choice Requires="wps">
          <w:drawing>
            <wp:anchor distT="0" distB="0" distL="114300" distR="114300" simplePos="0" relativeHeight="251658245" behindDoc="0" locked="1" layoutInCell="0" allowOverlap="1" wp14:anchorId="58E0202D" wp14:editId="55C3B0C6">
              <wp:simplePos x="0" y="0"/>
              <wp:positionH relativeFrom="margin">
                <wp:align>center</wp:align>
              </wp:positionH>
              <wp:positionV relativeFrom="bottomMargin">
                <wp:align>center</wp:align>
              </wp:positionV>
              <wp:extent cx="892175" cy="273050"/>
              <wp:effectExtent l="0" t="0" r="22225" b="12700"/>
              <wp:wrapNone/>
              <wp:docPr id="8" name="Text Box 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0F06C90B" w14:textId="69B62F50" w:rsidR="002E0CBB" w:rsidRPr="002E0CBB" w:rsidRDefault="002E0CBB" w:rsidP="002E0CBB">
                          <w:pPr>
                            <w:spacing w:before="0" w:after="0"/>
                            <w:jc w:val="center"/>
                            <w:rPr>
                              <w:b/>
                              <w:color w:val="FF0000"/>
                              <w:sz w:val="24"/>
                            </w:rPr>
                          </w:pPr>
                          <w:r w:rsidRPr="002E0CBB">
                            <w:rPr>
                              <w:b/>
                              <w:color w:val="FF0000"/>
                              <w:sz w:val="24"/>
                            </w:rPr>
                            <w:fldChar w:fldCharType="begin"/>
                          </w:r>
                          <w:r w:rsidRPr="002E0CBB">
                            <w:rPr>
                              <w:b/>
                              <w:color w:val="FF0000"/>
                              <w:sz w:val="24"/>
                            </w:rPr>
                            <w:instrText xml:space="preserve"> DOCPROPERTY PM_ProtectiveMarkingValue_Footer \* MERGEFORMAT </w:instrText>
                          </w:r>
                          <w:r w:rsidRPr="002E0CBB">
                            <w:rPr>
                              <w:b/>
                              <w:color w:val="FF0000"/>
                              <w:sz w:val="24"/>
                            </w:rPr>
                            <w:fldChar w:fldCharType="separate"/>
                          </w:r>
                          <w:r>
                            <w:rPr>
                              <w:b/>
                              <w:color w:val="FF0000"/>
                              <w:sz w:val="24"/>
                            </w:rPr>
                            <w:t>OFFICIAL</w:t>
                          </w:r>
                          <w:r w:rsidRPr="002E0CB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8E0202D" id="Text Box 8" o:spid="_x0000_s1031" type="#_x0000_t202" style="position:absolute;margin-left:0;margin-top:0;width:70.25pt;height:21.5pt;z-index:25165824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" o:allowincell="f" filled="f" strokeweight=".5pt">
              <v:textbox style="mso-fit-shape-to-text:t">
                <w:txbxContent>
                  <w:p w14:paraId="0F06C90B" w14:textId="69B62F50" w:rsidR="002E0CBB" w:rsidRPr="002E0CBB" w:rsidRDefault="002E0CBB" w:rsidP="002E0CBB">
                    <w:pPr>
                      <w:spacing w:before="0" w:after="0"/>
                      <w:jc w:val="center"/>
                      <w:rPr>
                        <w:b/>
                        <w:color w:val="FF0000"/>
                        <w:sz w:val="24"/>
                      </w:rPr>
                    </w:pPr>
                    <w:r w:rsidRPr="002E0CBB">
                      <w:rPr>
                        <w:b/>
                        <w:color w:val="FF0000"/>
                        <w:sz w:val="24"/>
                      </w:rPr>
                      <w:fldChar w:fldCharType="begin"/>
                    </w:r>
                    <w:r w:rsidRPr="002E0CBB">
                      <w:rPr>
                        <w:b/>
                        <w:color w:val="FF0000"/>
                        <w:sz w:val="24"/>
                      </w:rPr>
                      <w:instrText xml:space="preserve"> DOCPROPERTY PM_ProtectiveMarkingValue_Footer \* MERGEFORMAT </w:instrText>
                    </w:r>
                    <w:r w:rsidRPr="002E0CBB">
                      <w:rPr>
                        <w:b/>
                        <w:color w:val="FF0000"/>
                        <w:sz w:val="24"/>
                      </w:rPr>
                      <w:fldChar w:fldCharType="separate"/>
                    </w:r>
                    <w:r>
                      <w:rPr>
                        <w:b/>
                        <w:color w:val="FF0000"/>
                        <w:sz w:val="24"/>
                      </w:rPr>
                      <w:t>OFFICIAL</w:t>
                    </w:r>
                    <w:r w:rsidRPr="002E0CBB">
                      <w:rPr>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07B" w14:textId="3DB95F87" w:rsidR="00FF2540" w:rsidRPr="00D025AF" w:rsidRDefault="003A5AEF">
    <w:pPr>
      <w:pStyle w:val="Footer"/>
      <w:jc w:val="right"/>
      <w:rPr>
        <w:color w:val="004E7D"/>
        <w:sz w:val="20"/>
        <w:szCs w:val="20"/>
      </w:rPr>
    </w:pPr>
    <w:sdt>
      <w:sdtPr>
        <w:rPr>
          <w:color w:val="004E7D"/>
          <w:sz w:val="20"/>
          <w:szCs w:val="20"/>
        </w:rPr>
        <w:id w:val="-1988930592"/>
        <w:docPartObj>
          <w:docPartGallery w:val="Page Numbers (Bottom of Page)"/>
          <w:docPartUnique/>
        </w:docPartObj>
      </w:sdtPr>
      <w:sdtEndPr/>
      <w:sdtContent>
        <w:sdt>
          <w:sdtPr>
            <w:rPr>
              <w:color w:val="004E7D"/>
              <w:sz w:val="20"/>
              <w:szCs w:val="20"/>
            </w:rPr>
            <w:id w:val="860082579"/>
            <w:docPartObj>
              <w:docPartGallery w:val="Page Numbers (Top of Page)"/>
              <w:docPartUnique/>
            </w:docPartObj>
          </w:sdtPr>
          <w:sdtEndPr/>
          <w:sdtContent>
            <w:r w:rsidR="00FF2540" w:rsidRPr="00D025AF">
              <w:rPr>
                <w:color w:val="004E7D"/>
                <w:sz w:val="20"/>
                <w:szCs w:val="20"/>
              </w:rPr>
              <w:t xml:space="preserve">Page </w:t>
            </w:r>
            <w:r w:rsidR="00FF2540" w:rsidRPr="00D025AF">
              <w:rPr>
                <w:b/>
                <w:bCs/>
                <w:color w:val="004E7D"/>
                <w:sz w:val="20"/>
                <w:szCs w:val="20"/>
                <w:shd w:val="clear" w:color="auto" w:fill="E6E6E6"/>
              </w:rPr>
              <w:fldChar w:fldCharType="begin"/>
            </w:r>
            <w:r w:rsidR="00FF2540" w:rsidRPr="00D025AF">
              <w:rPr>
                <w:b/>
                <w:bCs/>
                <w:color w:val="004E7D"/>
                <w:sz w:val="20"/>
                <w:szCs w:val="20"/>
              </w:rPr>
              <w:instrText xml:space="preserve"> PAGE </w:instrText>
            </w:r>
            <w:r w:rsidR="00FF2540" w:rsidRPr="00D025AF">
              <w:rPr>
                <w:b/>
                <w:bCs/>
                <w:color w:val="004E7D"/>
                <w:sz w:val="20"/>
                <w:szCs w:val="20"/>
                <w:shd w:val="clear" w:color="auto" w:fill="E6E6E6"/>
              </w:rPr>
              <w:fldChar w:fldCharType="separate"/>
            </w:r>
            <w:r w:rsidR="005816BE" w:rsidRPr="00D025AF">
              <w:rPr>
                <w:b/>
                <w:bCs/>
                <w:noProof/>
                <w:color w:val="004E7D"/>
                <w:sz w:val="20"/>
                <w:szCs w:val="20"/>
              </w:rPr>
              <w:t>1</w:t>
            </w:r>
            <w:r w:rsidR="00FF2540" w:rsidRPr="00D025AF">
              <w:rPr>
                <w:b/>
                <w:bCs/>
                <w:color w:val="004E7D"/>
                <w:sz w:val="20"/>
                <w:szCs w:val="20"/>
                <w:shd w:val="clear" w:color="auto" w:fill="E6E6E6"/>
              </w:rPr>
              <w:fldChar w:fldCharType="end"/>
            </w:r>
            <w:r w:rsidR="00FF2540" w:rsidRPr="00D025AF">
              <w:rPr>
                <w:color w:val="004E7D"/>
                <w:sz w:val="20"/>
                <w:szCs w:val="20"/>
              </w:rPr>
              <w:t xml:space="preserve"> of </w:t>
            </w:r>
            <w:r w:rsidR="00FF2540" w:rsidRPr="00D025AF">
              <w:rPr>
                <w:b/>
                <w:bCs/>
                <w:color w:val="004E7D"/>
                <w:sz w:val="20"/>
                <w:szCs w:val="20"/>
                <w:shd w:val="clear" w:color="auto" w:fill="E6E6E6"/>
              </w:rPr>
              <w:fldChar w:fldCharType="begin"/>
            </w:r>
            <w:r w:rsidR="00FF2540" w:rsidRPr="00D025AF">
              <w:rPr>
                <w:b/>
                <w:bCs/>
                <w:color w:val="004E7D"/>
                <w:sz w:val="20"/>
                <w:szCs w:val="20"/>
              </w:rPr>
              <w:instrText xml:space="preserve"> NUMPAGES  </w:instrText>
            </w:r>
            <w:r w:rsidR="00FF2540" w:rsidRPr="00D025AF">
              <w:rPr>
                <w:b/>
                <w:bCs/>
                <w:color w:val="004E7D"/>
                <w:sz w:val="20"/>
                <w:szCs w:val="20"/>
                <w:shd w:val="clear" w:color="auto" w:fill="E6E6E6"/>
              </w:rPr>
              <w:fldChar w:fldCharType="separate"/>
            </w:r>
            <w:r w:rsidR="005816BE" w:rsidRPr="00D025AF">
              <w:rPr>
                <w:b/>
                <w:bCs/>
                <w:noProof/>
                <w:color w:val="004E7D"/>
                <w:sz w:val="20"/>
                <w:szCs w:val="20"/>
              </w:rPr>
              <w:t>6</w:t>
            </w:r>
            <w:r w:rsidR="00FF2540" w:rsidRPr="00D025AF">
              <w:rPr>
                <w:b/>
                <w:bCs/>
                <w:color w:val="004E7D"/>
                <w:sz w:val="20"/>
                <w:szCs w:val="20"/>
                <w:shd w:val="clear" w:color="auto" w:fill="E6E6E6"/>
              </w:rPr>
              <w:fldChar w:fldCharType="end"/>
            </w:r>
          </w:sdtContent>
        </w:sdt>
      </w:sdtContent>
    </w:sdt>
  </w:p>
  <w:p w14:paraId="5F5C54AA" w14:textId="77777777" w:rsidR="00FF2540" w:rsidRDefault="00FF2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1EC3" w14:textId="67D8A54C" w:rsidR="002E0CBB" w:rsidRDefault="00E33240">
    <w:pPr>
      <w:pStyle w:val="Footer"/>
    </w:pPr>
    <w:r>
      <w:rPr>
        <w:noProof/>
      </w:rPr>
      <mc:AlternateContent>
        <mc:Choice Requires="wps">
          <w:drawing>
            <wp:anchor distT="0" distB="0" distL="114300" distR="114300" simplePos="0" relativeHeight="251663365" behindDoc="0" locked="1" layoutInCell="0" allowOverlap="1" wp14:anchorId="434C795C" wp14:editId="002928E6">
              <wp:simplePos x="0" y="0"/>
              <wp:positionH relativeFrom="margin">
                <wp:align>center</wp:align>
              </wp:positionH>
              <wp:positionV relativeFrom="bottomMargin">
                <wp:align>center</wp:align>
              </wp:positionV>
              <wp:extent cx="892175" cy="273050"/>
              <wp:effectExtent l="0" t="0" r="0" b="0"/>
              <wp:wrapNone/>
              <wp:docPr id="357277787"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268975" w14:textId="47877C68" w:rsidR="00E33240" w:rsidRPr="00E33240" w:rsidRDefault="00E33240" w:rsidP="00E33240">
                          <w:pPr>
                            <w:spacing w:before="0" w:after="0"/>
                            <w:jc w:val="center"/>
                            <w:rPr>
                              <w:b/>
                              <w:color w:val="FF0000"/>
                              <w:sz w:val="24"/>
                            </w:rPr>
                          </w:pPr>
                          <w:r w:rsidRPr="00E33240">
                            <w:rPr>
                              <w:b/>
                              <w:color w:val="FF0000"/>
                              <w:sz w:val="24"/>
                            </w:rPr>
                            <w:fldChar w:fldCharType="begin"/>
                          </w:r>
                          <w:r w:rsidRPr="00E33240">
                            <w:rPr>
                              <w:b/>
                              <w:color w:val="FF0000"/>
                              <w:sz w:val="24"/>
                            </w:rPr>
                            <w:instrText xml:space="preserve"> DOCPROPERTY PM_ProtectiveMarkingValue_Footer \* MERGEFORMAT </w:instrText>
                          </w:r>
                          <w:r w:rsidRPr="00E33240">
                            <w:rPr>
                              <w:b/>
                              <w:color w:val="FF0000"/>
                              <w:sz w:val="24"/>
                            </w:rPr>
                            <w:fldChar w:fldCharType="separate"/>
                          </w:r>
                          <w:r w:rsidR="00EE0CD9">
                            <w:rPr>
                              <w:b/>
                              <w:color w:val="FF0000"/>
                              <w:sz w:val="24"/>
                            </w:rPr>
                            <w:t>OFFICIAL</w:t>
                          </w:r>
                          <w:r w:rsidRPr="00E3324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34C795C" id="_x0000_t202" coordsize="21600,21600" o:spt="202" path="m,l,21600r21600,l21600,xe">
              <v:stroke joinstyle="miter"/>
              <v:path gradientshapeok="t" o:connecttype="rect"/>
            </v:shapetype>
            <v:shape id="janusSEAL SC F_FirstPage" o:spid="_x0000_s1036" type="#_x0000_t202" style="position:absolute;margin-left:0;margin-top:0;width:70.25pt;height:21.5pt;z-index:25166336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au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8QOwtWa8j3Gs3Rg3hm5qNDE&#10;Ujj/KiyoxkSQr3/BUtSEYnS0OCvJ/vzbfYgHA/By1kI6GdfQNmf1dw1m7gejUVBaPIzGkyEO9tqz&#10;vvbobfNI0OYA38TIaIZ4X5/MwlLzDo3PQ024hJaonHF/Mh/9Qc74I1LN5zEI2jLCL/XKyJA6QBcA&#10;fuvehTVHFjzoe6aTxET6gYxDbHjpzHzrQUlk6oLpEX3oMhJ4/ENB+NfnGHX56bNf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wdJq4YAgAAMQQAAA4AAAAAAAAAAAAAAAAALgIAAGRycy9lMm9Eb2MueG1sUEsBAi0AFAAGAAgA&#10;AAAhAGk6TznbAAAABAEAAA8AAAAAAAAAAAAAAAAAcgQAAGRycy9kb3ducmV2LnhtbFBLBQYAAAAA&#10;BAAEAPMAAAB6BQAAAAA=&#10;" o:allowincell="f" filled="f" stroked="f" strokeweight=".5pt">
              <v:textbox style="mso-fit-shape-to-text:t">
                <w:txbxContent>
                  <w:p w14:paraId="24268975" w14:textId="47877C68" w:rsidR="00E33240" w:rsidRPr="00E33240" w:rsidRDefault="00E33240" w:rsidP="00E33240">
                    <w:pPr>
                      <w:spacing w:before="0" w:after="0"/>
                      <w:jc w:val="center"/>
                      <w:rPr>
                        <w:b/>
                        <w:color w:val="FF0000"/>
                        <w:sz w:val="24"/>
                      </w:rPr>
                    </w:pPr>
                    <w:r w:rsidRPr="00E33240">
                      <w:rPr>
                        <w:b/>
                        <w:color w:val="FF0000"/>
                        <w:sz w:val="24"/>
                      </w:rPr>
                      <w:fldChar w:fldCharType="begin"/>
                    </w:r>
                    <w:r w:rsidRPr="00E33240">
                      <w:rPr>
                        <w:b/>
                        <w:color w:val="FF0000"/>
                        <w:sz w:val="24"/>
                      </w:rPr>
                      <w:instrText xml:space="preserve"> DOCPROPERTY PM_ProtectiveMarkingValue_Footer \* MERGEFORMAT </w:instrText>
                    </w:r>
                    <w:r w:rsidRPr="00E33240">
                      <w:rPr>
                        <w:b/>
                        <w:color w:val="FF0000"/>
                        <w:sz w:val="24"/>
                      </w:rPr>
                      <w:fldChar w:fldCharType="separate"/>
                    </w:r>
                    <w:r w:rsidR="00EE0CD9">
                      <w:rPr>
                        <w:b/>
                        <w:color w:val="FF0000"/>
                        <w:sz w:val="24"/>
                      </w:rPr>
                      <w:t>OFFICIAL</w:t>
                    </w:r>
                    <w:r w:rsidRPr="00E33240">
                      <w:rPr>
                        <w:b/>
                        <w:color w:val="FF0000"/>
                        <w:sz w:val="24"/>
                      </w:rPr>
                      <w:fldChar w:fldCharType="end"/>
                    </w:r>
                  </w:p>
                </w:txbxContent>
              </v:textbox>
              <w10:wrap anchorx="margin" anchory="margin"/>
              <w10:anchorlock/>
            </v:shape>
          </w:pict>
        </mc:Fallback>
      </mc:AlternateContent>
    </w:r>
    <w:r w:rsidR="002E0CBB">
      <w:rPr>
        <w:noProof/>
      </w:rPr>
      <mc:AlternateContent>
        <mc:Choice Requires="wps">
          <w:drawing>
            <wp:anchor distT="0" distB="0" distL="114300" distR="114300" simplePos="0" relativeHeight="251658244" behindDoc="0" locked="1" layoutInCell="0" allowOverlap="1" wp14:anchorId="5940BCE4" wp14:editId="3C872408">
              <wp:simplePos x="0" y="0"/>
              <wp:positionH relativeFrom="margin">
                <wp:align>center</wp:align>
              </wp:positionH>
              <wp:positionV relativeFrom="bottomMargin">
                <wp:align>center</wp:align>
              </wp:positionV>
              <wp:extent cx="892175" cy="273050"/>
              <wp:effectExtent l="0" t="0" r="22225" b="12700"/>
              <wp:wrapNone/>
              <wp:docPr id="7" name="Text Box 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7229739A" w14:textId="2DFFE272" w:rsidR="002E0CBB" w:rsidRPr="002E0CBB" w:rsidRDefault="002E0CBB" w:rsidP="002E0CBB">
                          <w:pPr>
                            <w:spacing w:before="0" w:after="0"/>
                            <w:jc w:val="center"/>
                            <w:rPr>
                              <w:b/>
                              <w:color w:val="FF0000"/>
                              <w:sz w:val="24"/>
                            </w:rPr>
                          </w:pPr>
                          <w:r w:rsidRPr="002E0CBB">
                            <w:rPr>
                              <w:b/>
                              <w:color w:val="FF0000"/>
                              <w:sz w:val="24"/>
                            </w:rPr>
                            <w:fldChar w:fldCharType="begin"/>
                          </w:r>
                          <w:r w:rsidRPr="002E0CBB">
                            <w:rPr>
                              <w:b/>
                              <w:color w:val="FF0000"/>
                              <w:sz w:val="24"/>
                            </w:rPr>
                            <w:instrText xml:space="preserve"> DOCPROPERTY PM_ProtectiveMarkingValue_Footer \* MERGEFORMAT </w:instrText>
                          </w:r>
                          <w:r w:rsidRPr="002E0CBB">
                            <w:rPr>
                              <w:b/>
                              <w:color w:val="FF0000"/>
                              <w:sz w:val="24"/>
                            </w:rPr>
                            <w:fldChar w:fldCharType="separate"/>
                          </w:r>
                          <w:r>
                            <w:rPr>
                              <w:b/>
                              <w:color w:val="FF0000"/>
                              <w:sz w:val="24"/>
                            </w:rPr>
                            <w:t>OFFICIAL</w:t>
                          </w:r>
                          <w:r w:rsidRPr="002E0CB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940BCE4" id="Text Box 7" o:spid="_x0000_s1037" type="#_x0000_t202" style="position:absolute;margin-left:0;margin-top:0;width:70.25pt;height:21.5pt;z-index:25165824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" o:allowincell="f" filled="f" strokeweight=".5pt">
              <v:textbox style="mso-fit-shape-to-text:t">
                <w:txbxContent>
                  <w:p w14:paraId="7229739A" w14:textId="2DFFE272" w:rsidR="002E0CBB" w:rsidRPr="002E0CBB" w:rsidRDefault="002E0CBB" w:rsidP="002E0CBB">
                    <w:pPr>
                      <w:spacing w:before="0" w:after="0"/>
                      <w:jc w:val="center"/>
                      <w:rPr>
                        <w:b/>
                        <w:color w:val="FF0000"/>
                        <w:sz w:val="24"/>
                      </w:rPr>
                    </w:pPr>
                    <w:r w:rsidRPr="002E0CBB">
                      <w:rPr>
                        <w:b/>
                        <w:color w:val="FF0000"/>
                        <w:sz w:val="24"/>
                      </w:rPr>
                      <w:fldChar w:fldCharType="begin"/>
                    </w:r>
                    <w:r w:rsidRPr="002E0CBB">
                      <w:rPr>
                        <w:b/>
                        <w:color w:val="FF0000"/>
                        <w:sz w:val="24"/>
                      </w:rPr>
                      <w:instrText xml:space="preserve"> DOCPROPERTY PM_ProtectiveMarkingValue_Footer \* MERGEFORMAT </w:instrText>
                    </w:r>
                    <w:r w:rsidRPr="002E0CBB">
                      <w:rPr>
                        <w:b/>
                        <w:color w:val="FF0000"/>
                        <w:sz w:val="24"/>
                      </w:rPr>
                      <w:fldChar w:fldCharType="separate"/>
                    </w:r>
                    <w:r>
                      <w:rPr>
                        <w:b/>
                        <w:color w:val="FF0000"/>
                        <w:sz w:val="24"/>
                      </w:rPr>
                      <w:t>OFFICIAL</w:t>
                    </w:r>
                    <w:r w:rsidRPr="002E0CBB">
                      <w:rPr>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D6CE" w14:textId="77777777" w:rsidR="001C19E7" w:rsidRDefault="001C19E7" w:rsidP="006C328D">
      <w:pPr>
        <w:spacing w:before="0" w:after="0"/>
      </w:pPr>
      <w:r>
        <w:separator/>
      </w:r>
    </w:p>
  </w:footnote>
  <w:footnote w:type="continuationSeparator" w:id="0">
    <w:p w14:paraId="1D1FAE4C" w14:textId="77777777" w:rsidR="001C19E7" w:rsidRDefault="001C19E7" w:rsidP="006C328D">
      <w:pPr>
        <w:spacing w:before="0" w:after="0"/>
      </w:pPr>
      <w:r>
        <w:continuationSeparator/>
      </w:r>
    </w:p>
  </w:footnote>
  <w:footnote w:type="continuationNotice" w:id="1">
    <w:p w14:paraId="1DA94776" w14:textId="77777777" w:rsidR="001C19E7" w:rsidRDefault="001C19E7">
      <w:pPr>
        <w:spacing w:before="0" w:after="0"/>
      </w:pPr>
    </w:p>
  </w:footnote>
  <w:footnote w:id="2">
    <w:p w14:paraId="3D259CFD" w14:textId="1973B00B" w:rsidR="00D3258E" w:rsidRPr="00957725" w:rsidRDefault="00D3258E">
      <w:pPr>
        <w:pStyle w:val="FootnoteText"/>
        <w:rPr>
          <w:lang w:val="en-AU"/>
        </w:rPr>
      </w:pPr>
      <w:r>
        <w:rPr>
          <w:rStyle w:val="FootnoteReference"/>
        </w:rPr>
        <w:footnoteRef/>
      </w:r>
      <w:r>
        <w:t xml:space="preserve"> </w:t>
      </w:r>
      <w:proofErr w:type="gramStart"/>
      <w:r w:rsidR="00D81569">
        <w:rPr>
          <w:lang w:val="en-AU"/>
        </w:rPr>
        <w:t>e.g.</w:t>
      </w:r>
      <w:proofErr w:type="gramEnd"/>
      <w:r w:rsidR="00BD7216">
        <w:rPr>
          <w:lang w:val="en-AU"/>
        </w:rPr>
        <w:t xml:space="preserve"> For the purposes of this guidance note, academic governance </w:t>
      </w:r>
      <w:r w:rsidR="00D81569">
        <w:rPr>
          <w:lang w:val="en-AU"/>
        </w:rPr>
        <w:t xml:space="preserve">is in context of </w:t>
      </w:r>
      <w:r w:rsidR="00BD7216">
        <w:rPr>
          <w:rFonts w:ascii="Arial" w:hAnsi="Arial" w:cs="Arial"/>
          <w:noProof/>
        </w:rPr>
        <w:t xml:space="preserve">the </w:t>
      </w:r>
      <w:r w:rsidR="008D7CDE">
        <w:rPr>
          <w:rFonts w:ascii="Arial" w:hAnsi="Arial" w:cs="Arial"/>
          <w:noProof/>
        </w:rPr>
        <w:t xml:space="preserve">requirement </w:t>
      </w:r>
      <w:r w:rsidR="00D81569">
        <w:rPr>
          <w:rFonts w:ascii="Arial" w:hAnsi="Arial" w:cs="Arial"/>
          <w:noProof/>
        </w:rPr>
        <w:t xml:space="preserve">placed on registered higher education </w:t>
      </w:r>
      <w:r w:rsidR="008D7CDE">
        <w:rPr>
          <w:rFonts w:ascii="Arial" w:hAnsi="Arial" w:cs="Arial"/>
          <w:noProof/>
        </w:rPr>
        <w:t xml:space="preserve">providers </w:t>
      </w:r>
      <w:r w:rsidR="00D81569">
        <w:rPr>
          <w:rFonts w:ascii="Arial" w:hAnsi="Arial" w:cs="Arial"/>
          <w:noProof/>
        </w:rPr>
        <w:t>as determined by the</w:t>
      </w:r>
      <w:r w:rsidR="00BD7216">
        <w:rPr>
          <w:rFonts w:ascii="Arial" w:hAnsi="Arial" w:cs="Arial"/>
          <w:noProof/>
        </w:rPr>
        <w:t xml:space="preserve"> TEQSA Act </w:t>
      </w:r>
      <w:r w:rsidR="00D81569">
        <w:rPr>
          <w:rFonts w:ascii="Arial" w:hAnsi="Arial" w:cs="Arial"/>
          <w:noProof/>
        </w:rPr>
        <w:t xml:space="preserve">and </w:t>
      </w:r>
      <w:r w:rsidR="00BD7216">
        <w:rPr>
          <w:rFonts w:ascii="Arial" w:hAnsi="Arial" w:cs="Arial"/>
          <w:noProof/>
        </w:rPr>
        <w:t>other Commonwealth law</w:t>
      </w:r>
      <w:r w:rsidR="00D81569">
        <w:rPr>
          <w:rFonts w:ascii="Arial" w:hAnsi="Arial" w:cs="Arial"/>
          <w:noProof/>
        </w:rPr>
        <w:t>, such as</w:t>
      </w:r>
      <w:r w:rsidR="00BD7216">
        <w:rPr>
          <w:lang w:val="en-AU"/>
        </w:rPr>
        <w:t xml:space="preserve"> </w:t>
      </w:r>
      <w:r>
        <w:rPr>
          <w:lang w:val="en-AU"/>
        </w:rPr>
        <w:t xml:space="preserve">the </w:t>
      </w:r>
      <w:r w:rsidRPr="00957725">
        <w:rPr>
          <w:i/>
          <w:iCs/>
          <w:lang w:val="en-AU"/>
        </w:rPr>
        <w:t>Higher Education Standards Framework</w:t>
      </w:r>
      <w:r w:rsidR="00D556A9" w:rsidRPr="00957725">
        <w:rPr>
          <w:i/>
          <w:iCs/>
          <w:lang w:val="en-AU"/>
        </w:rPr>
        <w:t xml:space="preserve"> 2021</w:t>
      </w:r>
      <w:r w:rsidR="00D556A9">
        <w:rPr>
          <w:lang w:val="en-AU"/>
        </w:rPr>
        <w:t>,</w:t>
      </w:r>
      <w:r>
        <w:rPr>
          <w:lang w:val="en-AU"/>
        </w:rPr>
        <w:t xml:space="preserve"> </w:t>
      </w:r>
      <w:r w:rsidRPr="00957725">
        <w:rPr>
          <w:i/>
          <w:iCs/>
          <w:lang w:val="en-AU"/>
        </w:rPr>
        <w:t>Education Services for Overseas Students Act 2000</w:t>
      </w:r>
      <w:r>
        <w:rPr>
          <w:lang w:val="en-AU"/>
        </w:rPr>
        <w:t xml:space="preserve">, </w:t>
      </w:r>
      <w:r w:rsidR="00D556A9">
        <w:rPr>
          <w:lang w:val="en-AU"/>
        </w:rPr>
        <w:t xml:space="preserve">and </w:t>
      </w:r>
      <w:r>
        <w:rPr>
          <w:lang w:val="en-AU"/>
        </w:rPr>
        <w:t xml:space="preserve">the </w:t>
      </w:r>
      <w:r w:rsidRPr="00957725">
        <w:rPr>
          <w:i/>
          <w:iCs/>
          <w:lang w:val="en-AU"/>
        </w:rPr>
        <w:t>Australian Qualifications Framework</w:t>
      </w:r>
      <w:r w:rsidR="00EF515F">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71DE" w14:textId="2BE69C58" w:rsidR="002E0CBB" w:rsidRDefault="00E33240">
    <w:pPr>
      <w:pStyle w:val="Header"/>
    </w:pPr>
    <w:r>
      <w:rPr>
        <w:noProof/>
      </w:rPr>
      <mc:AlternateContent>
        <mc:Choice Requires="wps">
          <w:drawing>
            <wp:anchor distT="0" distB="0" distL="114300" distR="114300" simplePos="0" relativeHeight="251661317" behindDoc="0" locked="1" layoutInCell="0" allowOverlap="1" wp14:anchorId="5B8F84CD" wp14:editId="1635EE12">
              <wp:simplePos x="0" y="0"/>
              <wp:positionH relativeFrom="margin">
                <wp:align>center</wp:align>
              </wp:positionH>
              <wp:positionV relativeFrom="topMargin">
                <wp:align>center</wp:align>
              </wp:positionV>
              <wp:extent cx="892175" cy="273050"/>
              <wp:effectExtent l="0" t="0" r="0" b="0"/>
              <wp:wrapNone/>
              <wp:docPr id="1010965048"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8AAD8A" w14:textId="45F2BEB2" w:rsidR="00E33240" w:rsidRPr="00E33240" w:rsidRDefault="00E33240" w:rsidP="00E33240">
                          <w:pPr>
                            <w:spacing w:before="0" w:after="0"/>
                            <w:jc w:val="center"/>
                            <w:rPr>
                              <w:b/>
                              <w:color w:val="FF0000"/>
                              <w:sz w:val="24"/>
                            </w:rPr>
                          </w:pPr>
                          <w:r w:rsidRPr="00E33240">
                            <w:rPr>
                              <w:b/>
                              <w:color w:val="FF0000"/>
                              <w:sz w:val="24"/>
                            </w:rPr>
                            <w:fldChar w:fldCharType="begin"/>
                          </w:r>
                          <w:r w:rsidRPr="00E33240">
                            <w:rPr>
                              <w:b/>
                              <w:color w:val="FF0000"/>
                              <w:sz w:val="24"/>
                            </w:rPr>
                            <w:instrText xml:space="preserve"> DOCPROPERTY PM_ProtectiveMarkingValue_Header \* MERGEFORMAT </w:instrText>
                          </w:r>
                          <w:r w:rsidRPr="00E33240">
                            <w:rPr>
                              <w:b/>
                              <w:color w:val="FF0000"/>
                              <w:sz w:val="24"/>
                            </w:rPr>
                            <w:fldChar w:fldCharType="separate"/>
                          </w:r>
                          <w:r w:rsidR="00EE0CD9">
                            <w:rPr>
                              <w:b/>
                              <w:color w:val="FF0000"/>
                              <w:sz w:val="24"/>
                            </w:rPr>
                            <w:t>OFFICIAL</w:t>
                          </w:r>
                          <w:r w:rsidRPr="00E3324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B8F84CD" id="_x0000_t202" coordsize="21600,21600" o:spt="202" path="m,l,21600r21600,l21600,xe">
              <v:stroke joinstyle="miter"/>
              <v:path gradientshapeok="t" o:connecttype="rect"/>
            </v:shapetype>
            <v:shape id="janusSEAL SC H_EvenPage" o:spid="_x0000_s1026" type="#_x0000_t202" style="position:absolute;margin-left:0;margin-top:0;width:70.25pt;height:21.5pt;z-index:25166131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698AAD8A" w14:textId="45F2BEB2" w:rsidR="00E33240" w:rsidRPr="00E33240" w:rsidRDefault="00E33240" w:rsidP="00E33240">
                    <w:pPr>
                      <w:spacing w:before="0" w:after="0"/>
                      <w:jc w:val="center"/>
                      <w:rPr>
                        <w:b/>
                        <w:color w:val="FF0000"/>
                        <w:sz w:val="24"/>
                      </w:rPr>
                    </w:pPr>
                    <w:r w:rsidRPr="00E33240">
                      <w:rPr>
                        <w:b/>
                        <w:color w:val="FF0000"/>
                        <w:sz w:val="24"/>
                      </w:rPr>
                      <w:fldChar w:fldCharType="begin"/>
                    </w:r>
                    <w:r w:rsidRPr="00E33240">
                      <w:rPr>
                        <w:b/>
                        <w:color w:val="FF0000"/>
                        <w:sz w:val="24"/>
                      </w:rPr>
                      <w:instrText xml:space="preserve"> DOCPROPERTY PM_ProtectiveMarkingValue_Header \* MERGEFORMAT </w:instrText>
                    </w:r>
                    <w:r w:rsidRPr="00E33240">
                      <w:rPr>
                        <w:b/>
                        <w:color w:val="FF0000"/>
                        <w:sz w:val="24"/>
                      </w:rPr>
                      <w:fldChar w:fldCharType="separate"/>
                    </w:r>
                    <w:r w:rsidR="00EE0CD9">
                      <w:rPr>
                        <w:b/>
                        <w:color w:val="FF0000"/>
                        <w:sz w:val="24"/>
                      </w:rPr>
                      <w:t>OFFICIAL</w:t>
                    </w:r>
                    <w:r w:rsidRPr="00E33240">
                      <w:rPr>
                        <w:b/>
                        <w:color w:val="FF0000"/>
                        <w:sz w:val="24"/>
                      </w:rPr>
                      <w:fldChar w:fldCharType="end"/>
                    </w:r>
                  </w:p>
                </w:txbxContent>
              </v:textbox>
              <w10:wrap anchorx="margin" anchory="margin"/>
              <w10:anchorlock/>
            </v:shape>
          </w:pict>
        </mc:Fallback>
      </mc:AlternateContent>
    </w:r>
    <w:r w:rsidR="002E0CBB">
      <w:rPr>
        <w:noProof/>
      </w:rPr>
      <mc:AlternateContent>
        <mc:Choice Requires="wps">
          <w:drawing>
            <wp:anchor distT="0" distB="0" distL="114300" distR="114300" simplePos="0" relativeHeight="251658242" behindDoc="0" locked="1" layoutInCell="0" allowOverlap="1" wp14:anchorId="53798D3F" wp14:editId="3AA7E53E">
              <wp:simplePos x="0" y="0"/>
              <wp:positionH relativeFrom="margin">
                <wp:align>center</wp:align>
              </wp:positionH>
              <wp:positionV relativeFrom="topMargin">
                <wp:align>center</wp:align>
              </wp:positionV>
              <wp:extent cx="892175" cy="273050"/>
              <wp:effectExtent l="0" t="0" r="22225" b="12700"/>
              <wp:wrapNone/>
              <wp:docPr id="5" name="Text Box 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75BCD419" w14:textId="152007F7" w:rsidR="002E0CBB" w:rsidRPr="002E0CBB" w:rsidRDefault="002E0CBB" w:rsidP="002E0CBB">
                          <w:pPr>
                            <w:spacing w:before="0" w:after="0"/>
                            <w:jc w:val="center"/>
                            <w:rPr>
                              <w:b/>
                              <w:color w:val="FF0000"/>
                              <w:sz w:val="24"/>
                            </w:rPr>
                          </w:pPr>
                          <w:r w:rsidRPr="002E0CBB">
                            <w:rPr>
                              <w:b/>
                              <w:color w:val="FF0000"/>
                              <w:sz w:val="24"/>
                            </w:rPr>
                            <w:fldChar w:fldCharType="begin"/>
                          </w:r>
                          <w:r w:rsidRPr="002E0CBB">
                            <w:rPr>
                              <w:b/>
                              <w:color w:val="FF0000"/>
                              <w:sz w:val="24"/>
                            </w:rPr>
                            <w:instrText xml:space="preserve"> DOCPROPERTY PM_ProtectiveMarkingValue_Header \* MERGEFORMAT </w:instrText>
                          </w:r>
                          <w:r w:rsidRPr="002E0CBB">
                            <w:rPr>
                              <w:b/>
                              <w:color w:val="FF0000"/>
                              <w:sz w:val="24"/>
                            </w:rPr>
                            <w:fldChar w:fldCharType="separate"/>
                          </w:r>
                          <w:r>
                            <w:rPr>
                              <w:b/>
                              <w:color w:val="FF0000"/>
                              <w:sz w:val="24"/>
                            </w:rPr>
                            <w:t>OFFICIAL</w:t>
                          </w:r>
                          <w:r w:rsidRPr="002E0CB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798D3F" id="Text Box 5" o:spid="_x0000_s1027" type="#_x0000_t202" style="position:absolute;margin-left:0;margin-top:0;width:70.25pt;height:21.5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" o:allowincell="f" filled="f" strokeweight=".5pt">
              <v:textbox style="mso-fit-shape-to-text:t">
                <w:txbxContent>
                  <w:p w14:paraId="75BCD419" w14:textId="152007F7" w:rsidR="002E0CBB" w:rsidRPr="002E0CBB" w:rsidRDefault="002E0CBB" w:rsidP="002E0CBB">
                    <w:pPr>
                      <w:spacing w:before="0" w:after="0"/>
                      <w:jc w:val="center"/>
                      <w:rPr>
                        <w:b/>
                        <w:color w:val="FF0000"/>
                        <w:sz w:val="24"/>
                      </w:rPr>
                    </w:pPr>
                    <w:r w:rsidRPr="002E0CBB">
                      <w:rPr>
                        <w:b/>
                        <w:color w:val="FF0000"/>
                        <w:sz w:val="24"/>
                      </w:rPr>
                      <w:fldChar w:fldCharType="begin"/>
                    </w:r>
                    <w:r w:rsidRPr="002E0CBB">
                      <w:rPr>
                        <w:b/>
                        <w:color w:val="FF0000"/>
                        <w:sz w:val="24"/>
                      </w:rPr>
                      <w:instrText xml:space="preserve"> DOCPROPERTY PM_ProtectiveMarkingValue_Header \* MERGEFORMAT </w:instrText>
                    </w:r>
                    <w:r w:rsidRPr="002E0CBB">
                      <w:rPr>
                        <w:b/>
                        <w:color w:val="FF0000"/>
                        <w:sz w:val="24"/>
                      </w:rPr>
                      <w:fldChar w:fldCharType="separate"/>
                    </w:r>
                    <w:r>
                      <w:rPr>
                        <w:b/>
                        <w:color w:val="FF0000"/>
                        <w:sz w:val="24"/>
                      </w:rPr>
                      <w:t>OFFICIAL</w:t>
                    </w:r>
                    <w:r w:rsidRPr="002E0CBB">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5F75" w14:textId="250F812B" w:rsidR="006C328D" w:rsidRPr="006C328D" w:rsidRDefault="003E41B4"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drawing>
        <wp:anchor distT="0" distB="0" distL="114300" distR="114300" simplePos="0" relativeHeight="251665413" behindDoc="0" locked="0" layoutInCell="1" allowOverlap="1" wp14:anchorId="1B19D117" wp14:editId="15AEFA4B">
          <wp:simplePos x="0" y="0"/>
          <wp:positionH relativeFrom="column">
            <wp:posOffset>4442460</wp:posOffset>
          </wp:positionH>
          <wp:positionV relativeFrom="paragraph">
            <wp:posOffset>66675</wp:posOffset>
          </wp:positionV>
          <wp:extent cx="1560830" cy="386508"/>
          <wp:effectExtent l="0" t="0" r="1270" b="0"/>
          <wp:wrapNone/>
          <wp:docPr id="1588328217" name="Picture 3" descr="A blue circ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28217" name="Picture 3" descr="A blue circle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0830" cy="386508"/>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cs="Arial"/>
        <w:b/>
        <w:noProof/>
        <w:color w:val="004855"/>
        <w:sz w:val="28"/>
        <w:szCs w:val="28"/>
        <w:lang w:eastAsia="en-AU"/>
      </w:rPr>
      <w:drawing>
        <wp:inline distT="0" distB="0" distL="0" distR="0" wp14:anchorId="4AEC256A" wp14:editId="72A91224">
          <wp:extent cx="3345180" cy="495884"/>
          <wp:effectExtent l="0" t="0" r="7620" b="0"/>
          <wp:docPr id="1155028406"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028406" name="Picture 1" descr="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345180" cy="495884"/>
                  </a:xfrm>
                  <a:prstGeom prst="rect">
                    <a:avLst/>
                  </a:prstGeom>
                </pic:spPr>
              </pic:pic>
            </a:graphicData>
          </a:graphic>
        </wp:inline>
      </w:drawing>
    </w:r>
    <w:r w:rsidR="006C328D">
      <w:rPr>
        <w:rFonts w:ascii="Georgia" w:hAnsi="Georgia" w:cs="Arial"/>
        <w:b/>
        <w:noProof/>
        <w:color w:val="004855"/>
        <w:sz w:val="28"/>
        <w:szCs w:val="28"/>
        <w:lang w:eastAsia="en-AU"/>
      </w:rPr>
      <w:t xml:space="preserve"> </w:t>
    </w:r>
    <w:r w:rsidR="006C328D">
      <w:rPr>
        <w:rFonts w:ascii="Georgia" w:hAnsi="Georgia" w:cs="Arial"/>
        <w:b/>
        <w:noProof/>
        <w:color w:val="004855"/>
        <w:sz w:val="28"/>
        <w:szCs w:val="28"/>
        <w:lang w:eastAsia="en-AU"/>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2BF4" w14:textId="0F7B249C" w:rsidR="002E0CBB" w:rsidRDefault="00E33240">
    <w:pPr>
      <w:pStyle w:val="Header"/>
    </w:pPr>
    <w:r>
      <w:rPr>
        <w:noProof/>
      </w:rPr>
      <mc:AlternateContent>
        <mc:Choice Requires="wps">
          <w:drawing>
            <wp:anchor distT="0" distB="0" distL="114300" distR="114300" simplePos="0" relativeHeight="251660293" behindDoc="0" locked="1" layoutInCell="0" allowOverlap="1" wp14:anchorId="3518B241" wp14:editId="4083177F">
              <wp:simplePos x="0" y="0"/>
              <wp:positionH relativeFrom="margin">
                <wp:align>center</wp:align>
              </wp:positionH>
              <wp:positionV relativeFrom="topMargin">
                <wp:align>center</wp:align>
              </wp:positionV>
              <wp:extent cx="892175" cy="273050"/>
              <wp:effectExtent l="0" t="0" r="0" b="0"/>
              <wp:wrapNone/>
              <wp:docPr id="957407900"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94550C" w14:textId="2D7902F1" w:rsidR="00E33240" w:rsidRPr="00E33240" w:rsidRDefault="00E33240" w:rsidP="00E33240">
                          <w:pPr>
                            <w:spacing w:before="0" w:after="0"/>
                            <w:jc w:val="center"/>
                            <w:rPr>
                              <w:b/>
                              <w:color w:val="FF0000"/>
                              <w:sz w:val="24"/>
                            </w:rPr>
                          </w:pPr>
                          <w:r w:rsidRPr="00E33240">
                            <w:rPr>
                              <w:b/>
                              <w:color w:val="FF0000"/>
                              <w:sz w:val="24"/>
                            </w:rPr>
                            <w:fldChar w:fldCharType="begin"/>
                          </w:r>
                          <w:r w:rsidRPr="00E33240">
                            <w:rPr>
                              <w:b/>
                              <w:color w:val="FF0000"/>
                              <w:sz w:val="24"/>
                            </w:rPr>
                            <w:instrText xml:space="preserve"> DOCPROPERTY PM_ProtectiveMarkingValue_Header \* MERGEFORMAT </w:instrText>
                          </w:r>
                          <w:r w:rsidRPr="00E33240">
                            <w:rPr>
                              <w:b/>
                              <w:color w:val="FF0000"/>
                              <w:sz w:val="24"/>
                            </w:rPr>
                            <w:fldChar w:fldCharType="separate"/>
                          </w:r>
                          <w:r w:rsidR="00EE0CD9">
                            <w:rPr>
                              <w:b/>
                              <w:color w:val="FF0000"/>
                              <w:sz w:val="24"/>
                            </w:rPr>
                            <w:t>OFFICIAL</w:t>
                          </w:r>
                          <w:r w:rsidRPr="00E3324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518B241" id="_x0000_t202" coordsize="21600,21600" o:spt="202" path="m,l,21600r21600,l21600,xe">
              <v:stroke joinstyle="miter"/>
              <v:path gradientshapeok="t" o:connecttype="rect"/>
            </v:shapetype>
            <v:shape id="janusSEAL SC H_FirstPage" o:spid="_x0000_s1034" type="#_x0000_t202" style="position:absolute;margin-left:0;margin-top:0;width:70.25pt;height:21.5pt;z-index:25166029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Z3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KKqkp8YAgAAMAQAAA4AAAAAAAAAAAAAAAAALgIAAGRycy9lMm9Eb2MueG1sUEsBAi0AFAAGAAgA&#10;AAAhAGk6TznbAAAABAEAAA8AAAAAAAAAAAAAAAAAcgQAAGRycy9kb3ducmV2LnhtbFBLBQYAAAAA&#10;BAAEAPMAAAB6BQAAAAA=&#10;" o:allowincell="f" filled="f" stroked="f" strokeweight=".5pt">
              <v:textbox style="mso-fit-shape-to-text:t">
                <w:txbxContent>
                  <w:p w14:paraId="3E94550C" w14:textId="2D7902F1" w:rsidR="00E33240" w:rsidRPr="00E33240" w:rsidRDefault="00E33240" w:rsidP="00E33240">
                    <w:pPr>
                      <w:spacing w:before="0" w:after="0"/>
                      <w:jc w:val="center"/>
                      <w:rPr>
                        <w:b/>
                        <w:color w:val="FF0000"/>
                        <w:sz w:val="24"/>
                      </w:rPr>
                    </w:pPr>
                    <w:r w:rsidRPr="00E33240">
                      <w:rPr>
                        <w:b/>
                        <w:color w:val="FF0000"/>
                        <w:sz w:val="24"/>
                      </w:rPr>
                      <w:fldChar w:fldCharType="begin"/>
                    </w:r>
                    <w:r w:rsidRPr="00E33240">
                      <w:rPr>
                        <w:b/>
                        <w:color w:val="FF0000"/>
                        <w:sz w:val="24"/>
                      </w:rPr>
                      <w:instrText xml:space="preserve"> DOCPROPERTY PM_ProtectiveMarkingValue_Header \* MERGEFORMAT </w:instrText>
                    </w:r>
                    <w:r w:rsidRPr="00E33240">
                      <w:rPr>
                        <w:b/>
                        <w:color w:val="FF0000"/>
                        <w:sz w:val="24"/>
                      </w:rPr>
                      <w:fldChar w:fldCharType="separate"/>
                    </w:r>
                    <w:r w:rsidR="00EE0CD9">
                      <w:rPr>
                        <w:b/>
                        <w:color w:val="FF0000"/>
                        <w:sz w:val="24"/>
                      </w:rPr>
                      <w:t>OFFICIAL</w:t>
                    </w:r>
                    <w:r w:rsidRPr="00E33240">
                      <w:rPr>
                        <w:b/>
                        <w:color w:val="FF0000"/>
                        <w:sz w:val="24"/>
                      </w:rPr>
                      <w:fldChar w:fldCharType="end"/>
                    </w:r>
                  </w:p>
                </w:txbxContent>
              </v:textbox>
              <w10:wrap anchorx="margin" anchory="margin"/>
              <w10:anchorlock/>
            </v:shape>
          </w:pict>
        </mc:Fallback>
      </mc:AlternateContent>
    </w:r>
    <w:r w:rsidR="002E0CBB">
      <w:rPr>
        <w:noProof/>
      </w:rPr>
      <mc:AlternateContent>
        <mc:Choice Requires="wps">
          <w:drawing>
            <wp:anchor distT="0" distB="0" distL="114300" distR="114300" simplePos="0" relativeHeight="251658241" behindDoc="0" locked="1" layoutInCell="0" allowOverlap="1" wp14:anchorId="5426F7B6" wp14:editId="204A17BB">
              <wp:simplePos x="0" y="0"/>
              <wp:positionH relativeFrom="margin">
                <wp:align>center</wp:align>
              </wp:positionH>
              <wp:positionV relativeFrom="topMargin">
                <wp:align>center</wp:align>
              </wp:positionV>
              <wp:extent cx="892175" cy="273050"/>
              <wp:effectExtent l="0" t="0" r="22225" b="12700"/>
              <wp:wrapNone/>
              <wp:docPr id="2" name="Text Box 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1EDCB0C6" w14:textId="3FB4D611" w:rsidR="002E0CBB" w:rsidRPr="002E0CBB" w:rsidRDefault="002E0CBB" w:rsidP="002E0CBB">
                          <w:pPr>
                            <w:spacing w:before="0" w:after="0"/>
                            <w:jc w:val="center"/>
                            <w:rPr>
                              <w:b/>
                              <w:color w:val="FF0000"/>
                              <w:sz w:val="24"/>
                            </w:rPr>
                          </w:pPr>
                          <w:r w:rsidRPr="002E0CBB">
                            <w:rPr>
                              <w:b/>
                              <w:color w:val="FF0000"/>
                              <w:sz w:val="24"/>
                            </w:rPr>
                            <w:fldChar w:fldCharType="begin"/>
                          </w:r>
                          <w:r w:rsidRPr="002E0CBB">
                            <w:rPr>
                              <w:b/>
                              <w:color w:val="FF0000"/>
                              <w:sz w:val="24"/>
                            </w:rPr>
                            <w:instrText xml:space="preserve"> DOCPROPERTY PM_ProtectiveMarkingValue_Header \* MERGEFORMAT </w:instrText>
                          </w:r>
                          <w:r w:rsidRPr="002E0CBB">
                            <w:rPr>
                              <w:b/>
                              <w:color w:val="FF0000"/>
                              <w:sz w:val="24"/>
                            </w:rPr>
                            <w:fldChar w:fldCharType="separate"/>
                          </w:r>
                          <w:r>
                            <w:rPr>
                              <w:b/>
                              <w:color w:val="FF0000"/>
                              <w:sz w:val="24"/>
                            </w:rPr>
                            <w:t>OFFICIAL</w:t>
                          </w:r>
                          <w:r w:rsidRPr="002E0CB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26F7B6" id="Text Box 2" o:spid="_x0000_s1035" type="#_x0000_t202" style="position:absolute;margin-left:0;margin-top:0;width:70.25pt;height:21.5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" o:allowincell="f" filled="f" strokeweight=".5pt">
              <v:textbox style="mso-fit-shape-to-text:t">
                <w:txbxContent>
                  <w:p w14:paraId="1EDCB0C6" w14:textId="3FB4D611" w:rsidR="002E0CBB" w:rsidRPr="002E0CBB" w:rsidRDefault="002E0CBB" w:rsidP="002E0CBB">
                    <w:pPr>
                      <w:spacing w:before="0" w:after="0"/>
                      <w:jc w:val="center"/>
                      <w:rPr>
                        <w:b/>
                        <w:color w:val="FF0000"/>
                        <w:sz w:val="24"/>
                      </w:rPr>
                    </w:pPr>
                    <w:r w:rsidRPr="002E0CBB">
                      <w:rPr>
                        <w:b/>
                        <w:color w:val="FF0000"/>
                        <w:sz w:val="24"/>
                      </w:rPr>
                      <w:fldChar w:fldCharType="begin"/>
                    </w:r>
                    <w:r w:rsidRPr="002E0CBB">
                      <w:rPr>
                        <w:b/>
                        <w:color w:val="FF0000"/>
                        <w:sz w:val="24"/>
                      </w:rPr>
                      <w:instrText xml:space="preserve"> DOCPROPERTY PM_ProtectiveMarkingValue_Header \* MERGEFORMAT </w:instrText>
                    </w:r>
                    <w:r w:rsidRPr="002E0CBB">
                      <w:rPr>
                        <w:b/>
                        <w:color w:val="FF0000"/>
                        <w:sz w:val="24"/>
                      </w:rPr>
                      <w:fldChar w:fldCharType="separate"/>
                    </w:r>
                    <w:r>
                      <w:rPr>
                        <w:b/>
                        <w:color w:val="FF0000"/>
                        <w:sz w:val="24"/>
                      </w:rPr>
                      <w:t>OFFICIAL</w:t>
                    </w:r>
                    <w:r w:rsidRPr="002E0CBB">
                      <w:rPr>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0E6"/>
    <w:multiLevelType w:val="hybridMultilevel"/>
    <w:tmpl w:val="3B8E091A"/>
    <w:lvl w:ilvl="0" w:tplc="651A1E48">
      <w:start w:val="1"/>
      <w:numFmt w:val="bullet"/>
      <w:lvlText w:val=""/>
      <w:lvlJc w:val="left"/>
      <w:pPr>
        <w:ind w:left="778" w:hanging="360"/>
      </w:pPr>
      <w:rPr>
        <w:rFonts w:ascii="Symbol" w:hAnsi="Symbol" w:hint="default"/>
        <w:color w:val="004E7D"/>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0EFA2FA1"/>
    <w:multiLevelType w:val="hybridMultilevel"/>
    <w:tmpl w:val="08807B5A"/>
    <w:lvl w:ilvl="0" w:tplc="9D928C7A">
      <w:start w:val="1"/>
      <w:numFmt w:val="bullet"/>
      <w:lvlText w:val=""/>
      <w:lvlJc w:val="left"/>
      <w:pPr>
        <w:ind w:left="720" w:hanging="360"/>
      </w:pPr>
      <w:rPr>
        <w:rFonts w:ascii="Symbol" w:hAnsi="Symbol" w:hint="default"/>
        <w:color w:val="004E7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B7510D8"/>
    <w:multiLevelType w:val="hybridMultilevel"/>
    <w:tmpl w:val="E6ACE99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15:restartNumberingAfterBreak="0">
    <w:nsid w:val="1DD65D85"/>
    <w:multiLevelType w:val="hybridMultilevel"/>
    <w:tmpl w:val="1C00A00C"/>
    <w:lvl w:ilvl="0" w:tplc="4BCEABDA">
      <w:start w:val="1"/>
      <w:numFmt w:val="bullet"/>
      <w:lvlText w:val=""/>
      <w:lvlJc w:val="left"/>
      <w:pPr>
        <w:ind w:left="1080" w:hanging="360"/>
      </w:pPr>
      <w:rPr>
        <w:rFonts w:ascii="Symbol" w:hAnsi="Symbol" w:hint="default"/>
        <w:color w:val="00A398"/>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1F5B2C78"/>
    <w:multiLevelType w:val="hybridMultilevel"/>
    <w:tmpl w:val="863406B2"/>
    <w:lvl w:ilvl="0" w:tplc="25942AE2">
      <w:start w:val="1"/>
      <w:numFmt w:val="bullet"/>
      <w:lvlText w:val=""/>
      <w:lvlJc w:val="left"/>
      <w:pPr>
        <w:ind w:left="1080" w:hanging="360"/>
      </w:pPr>
      <w:rPr>
        <w:rFonts w:ascii="Symbol" w:hAnsi="Symbol" w:hint="default"/>
        <w:color w:val="004E7D"/>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1FE541A5"/>
    <w:multiLevelType w:val="multilevel"/>
    <w:tmpl w:val="ACCCB45A"/>
    <w:lvl w:ilvl="0">
      <w:start w:val="1"/>
      <w:numFmt w:val="bullet"/>
      <w:pStyle w:val="Bullet1"/>
      <w:lvlText w:val=""/>
      <w:lvlJc w:val="left"/>
      <w:pPr>
        <w:ind w:left="284" w:hanging="284"/>
      </w:pPr>
      <w:rPr>
        <w:rFonts w:ascii="Symbol" w:hAnsi="Symbol" w:hint="default"/>
        <w:color w:val="004E7D"/>
      </w:rPr>
    </w:lvl>
    <w:lvl w:ilvl="1">
      <w:start w:val="1"/>
      <w:numFmt w:val="bullet"/>
      <w:lvlText w:val="–"/>
      <w:lvlJc w:val="left"/>
      <w:pPr>
        <w:ind w:left="568" w:hanging="284"/>
      </w:pPr>
      <w:rPr>
        <w:rFonts w:ascii="Arial" w:hAnsi="Arial" w:hint="default"/>
        <w:color w:val="00847E" w:themeColor="accent1"/>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215A2E56"/>
    <w:multiLevelType w:val="hybridMultilevel"/>
    <w:tmpl w:val="3A9CDA22"/>
    <w:lvl w:ilvl="0" w:tplc="F50EB21A">
      <w:start w:val="1"/>
      <w:numFmt w:val="bullet"/>
      <w:pStyle w:val="BulletsL2"/>
      <w:lvlText w:val="4"/>
      <w:lvlJc w:val="left"/>
      <w:pPr>
        <w:ind w:left="720" w:hanging="360"/>
      </w:pPr>
      <w:rPr>
        <w:rFonts w:ascii="Webdings" w:hAnsi="Webdings" w:hint="default"/>
        <w:color w:val="00A6A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D50250"/>
    <w:multiLevelType w:val="hybridMultilevel"/>
    <w:tmpl w:val="62A492F2"/>
    <w:lvl w:ilvl="0" w:tplc="CA78D74C">
      <w:start w:val="1"/>
      <w:numFmt w:val="bullet"/>
      <w:pStyle w:val="PullOut-Teal"/>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F71216"/>
    <w:multiLevelType w:val="hybridMultilevel"/>
    <w:tmpl w:val="6FC41278"/>
    <w:lvl w:ilvl="0" w:tplc="25942AE2">
      <w:start w:val="1"/>
      <w:numFmt w:val="bullet"/>
      <w:lvlText w:val=""/>
      <w:lvlJc w:val="left"/>
      <w:pPr>
        <w:ind w:left="709" w:hanging="360"/>
      </w:pPr>
      <w:rPr>
        <w:rFonts w:ascii="Symbol" w:hAnsi="Symbol" w:hint="default"/>
        <w:color w:val="004E7D"/>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092CD4"/>
    <w:multiLevelType w:val="hybridMultilevel"/>
    <w:tmpl w:val="E6E2F31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3" w15:restartNumberingAfterBreak="0">
    <w:nsid w:val="333C47ED"/>
    <w:multiLevelType w:val="hybridMultilevel"/>
    <w:tmpl w:val="2C925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5A332E"/>
    <w:multiLevelType w:val="multilevel"/>
    <w:tmpl w:val="7778D0CA"/>
    <w:lvl w:ilvl="0">
      <w:start w:val="1"/>
      <w:numFmt w:val="bullet"/>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4E7D"/>
      </w:rPr>
    </w:lvl>
    <w:lvl w:ilvl="2">
      <w:start w:val="1"/>
      <w:numFmt w:val="bullet"/>
      <w:pStyle w:val="Bullet3"/>
      <w:lvlText w:val="»"/>
      <w:lvlJc w:val="left"/>
      <w:pPr>
        <w:ind w:left="710" w:hanging="284"/>
      </w:pPr>
      <w:rPr>
        <w:rFonts w:ascii="Arial" w:hAnsi="Arial" w:hint="default"/>
        <w:color w:val="004E7D"/>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7D3518A"/>
    <w:multiLevelType w:val="hybridMultilevel"/>
    <w:tmpl w:val="166C9AF6"/>
    <w:lvl w:ilvl="0" w:tplc="57361D72">
      <w:start w:val="1"/>
      <w:numFmt w:val="bullet"/>
      <w:lvlText w:val=""/>
      <w:lvlJc w:val="left"/>
      <w:pPr>
        <w:ind w:left="720" w:hanging="360"/>
      </w:pPr>
      <w:rPr>
        <w:rFonts w:ascii="Symbol" w:hAnsi="Symbol" w:hint="default"/>
        <w:color w:val="004E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F22498"/>
    <w:multiLevelType w:val="hybridMultilevel"/>
    <w:tmpl w:val="6360B4D6"/>
    <w:lvl w:ilvl="0" w:tplc="0C090001">
      <w:start w:val="1"/>
      <w:numFmt w:val="bullet"/>
      <w:lvlText w:val=""/>
      <w:lvlJc w:val="left"/>
      <w:pPr>
        <w:ind w:left="360" w:hanging="360"/>
      </w:pPr>
      <w:rPr>
        <w:rFonts w:ascii="Symbol" w:hAnsi="Symbol" w:hint="default"/>
      </w:rPr>
    </w:lvl>
    <w:lvl w:ilvl="1" w:tplc="2EB42E34">
      <w:start w:val="1"/>
      <w:numFmt w:val="bullet"/>
      <w:lvlText w:val=""/>
      <w:lvlJc w:val="left"/>
      <w:pPr>
        <w:ind w:left="928" w:hanging="360"/>
      </w:pPr>
      <w:rPr>
        <w:rFonts w:ascii="Symbol" w:hAnsi="Symbol" w:hint="default"/>
        <w:color w:val="004E7D"/>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2D47AE"/>
    <w:multiLevelType w:val="hybridMultilevel"/>
    <w:tmpl w:val="43C43536"/>
    <w:lvl w:ilvl="0" w:tplc="93243402">
      <w:start w:val="1"/>
      <w:numFmt w:val="bullet"/>
      <w:pStyle w:val="PullOut-Yellow"/>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4E6D7D"/>
    <w:multiLevelType w:val="hybridMultilevel"/>
    <w:tmpl w:val="4E940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9E28F0"/>
    <w:multiLevelType w:val="hybridMultilevel"/>
    <w:tmpl w:val="71C2A5DE"/>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75F2828"/>
    <w:multiLevelType w:val="hybridMultilevel"/>
    <w:tmpl w:val="9A8215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84C1E18"/>
    <w:multiLevelType w:val="hybridMultilevel"/>
    <w:tmpl w:val="6CD24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594F6627"/>
    <w:multiLevelType w:val="hybridMultilevel"/>
    <w:tmpl w:val="77D82B46"/>
    <w:lvl w:ilvl="0" w:tplc="B66A71E0">
      <w:start w:val="1"/>
      <w:numFmt w:val="bullet"/>
      <w:pStyle w:val="PullOut-Pink"/>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696001"/>
    <w:multiLevelType w:val="hybridMultilevel"/>
    <w:tmpl w:val="8B7A3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07A6075"/>
    <w:multiLevelType w:val="hybridMultilevel"/>
    <w:tmpl w:val="618CB63E"/>
    <w:lvl w:ilvl="0" w:tplc="0C09000F">
      <w:start w:val="1"/>
      <w:numFmt w:val="decimal"/>
      <w:lvlText w:val="%1."/>
      <w:lvlJc w:val="left"/>
      <w:pPr>
        <w:ind w:left="501" w:hanging="360"/>
      </w:p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8" w15:restartNumberingAfterBreak="0">
    <w:nsid w:val="733C1702"/>
    <w:multiLevelType w:val="hybridMultilevel"/>
    <w:tmpl w:val="DF8235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9E2414"/>
    <w:multiLevelType w:val="hybridMultilevel"/>
    <w:tmpl w:val="B86C9AC2"/>
    <w:lvl w:ilvl="0" w:tplc="7C80A49A">
      <w:start w:val="1"/>
      <w:numFmt w:val="bullet"/>
      <w:lvlText w:val=""/>
      <w:lvlJc w:val="left"/>
      <w:pPr>
        <w:ind w:left="720" w:hanging="360"/>
      </w:pPr>
      <w:rPr>
        <w:rFonts w:ascii="Symbol" w:hAnsi="Symbol" w:hint="default"/>
        <w:color w:val="004E7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1" w15:restartNumberingAfterBreak="0">
    <w:nsid w:val="7D0B6827"/>
    <w:multiLevelType w:val="hybridMultilevel"/>
    <w:tmpl w:val="49384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AA0459"/>
    <w:multiLevelType w:val="hybridMultilevel"/>
    <w:tmpl w:val="0E1470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F4F3C44"/>
    <w:multiLevelType w:val="hybridMultilevel"/>
    <w:tmpl w:val="8102B510"/>
    <w:lvl w:ilvl="0" w:tplc="E77AF2CE">
      <w:start w:val="1"/>
      <w:numFmt w:val="bullet"/>
      <w:lvlText w:val=""/>
      <w:lvlJc w:val="left"/>
      <w:pPr>
        <w:ind w:left="720" w:hanging="360"/>
      </w:pPr>
      <w:rPr>
        <w:rFonts w:ascii="Symbol" w:hAnsi="Symbol" w:hint="default"/>
        <w:color w:val="00847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5253250">
    <w:abstractNumId w:val="33"/>
  </w:num>
  <w:num w:numId="2" w16cid:durableId="260727904">
    <w:abstractNumId w:val="30"/>
  </w:num>
  <w:num w:numId="3" w16cid:durableId="276911947">
    <w:abstractNumId w:val="14"/>
  </w:num>
  <w:num w:numId="4" w16cid:durableId="1339380573">
    <w:abstractNumId w:val="26"/>
  </w:num>
  <w:num w:numId="5" w16cid:durableId="2006471738">
    <w:abstractNumId w:val="25"/>
  </w:num>
  <w:num w:numId="6" w16cid:durableId="1971783338">
    <w:abstractNumId w:val="22"/>
  </w:num>
  <w:num w:numId="7" w16cid:durableId="867985960">
    <w:abstractNumId w:val="8"/>
  </w:num>
  <w:num w:numId="8" w16cid:durableId="1977446859">
    <w:abstractNumId w:val="10"/>
  </w:num>
  <w:num w:numId="9" w16cid:durableId="1659529519">
    <w:abstractNumId w:val="11"/>
  </w:num>
  <w:num w:numId="10" w16cid:durableId="1200969643">
    <w:abstractNumId w:val="23"/>
  </w:num>
  <w:num w:numId="11" w16cid:durableId="1362051926">
    <w:abstractNumId w:val="17"/>
  </w:num>
  <w:num w:numId="12" w16cid:durableId="984316702">
    <w:abstractNumId w:val="4"/>
  </w:num>
  <w:num w:numId="13" w16cid:durableId="374744871">
    <w:abstractNumId w:val="19"/>
  </w:num>
  <w:num w:numId="14" w16cid:durableId="1053698750">
    <w:abstractNumId w:val="1"/>
  </w:num>
  <w:num w:numId="15" w16cid:durableId="57821923">
    <w:abstractNumId w:val="3"/>
  </w:num>
  <w:num w:numId="16" w16cid:durableId="1926109653">
    <w:abstractNumId w:val="32"/>
  </w:num>
  <w:num w:numId="17" w16cid:durableId="1692414257">
    <w:abstractNumId w:val="28"/>
  </w:num>
  <w:num w:numId="18" w16cid:durableId="713696981">
    <w:abstractNumId w:val="31"/>
  </w:num>
  <w:num w:numId="19" w16cid:durableId="546381785">
    <w:abstractNumId w:val="27"/>
  </w:num>
  <w:num w:numId="20" w16cid:durableId="1832521801">
    <w:abstractNumId w:val="16"/>
  </w:num>
  <w:num w:numId="21" w16cid:durableId="882912328">
    <w:abstractNumId w:val="29"/>
  </w:num>
  <w:num w:numId="22" w16cid:durableId="925843277">
    <w:abstractNumId w:val="34"/>
  </w:num>
  <w:num w:numId="23" w16cid:durableId="2065249225">
    <w:abstractNumId w:val="2"/>
  </w:num>
  <w:num w:numId="24" w16cid:durableId="30810098">
    <w:abstractNumId w:val="13"/>
  </w:num>
  <w:num w:numId="25" w16cid:durableId="1377926225">
    <w:abstractNumId w:val="0"/>
  </w:num>
  <w:num w:numId="26" w16cid:durableId="278801842">
    <w:abstractNumId w:val="20"/>
  </w:num>
  <w:num w:numId="27" w16cid:durableId="1226800634">
    <w:abstractNumId w:val="12"/>
  </w:num>
  <w:num w:numId="28" w16cid:durableId="275335387">
    <w:abstractNumId w:val="15"/>
  </w:num>
  <w:num w:numId="29" w16cid:durableId="20977032">
    <w:abstractNumId w:val="9"/>
  </w:num>
  <w:num w:numId="30" w16cid:durableId="1264873923">
    <w:abstractNumId w:val="24"/>
  </w:num>
  <w:num w:numId="31" w16cid:durableId="565266337">
    <w:abstractNumId w:val="5"/>
  </w:num>
  <w:num w:numId="32" w16cid:durableId="631060822">
    <w:abstractNumId w:val="14"/>
  </w:num>
  <w:num w:numId="33" w16cid:durableId="1567910019">
    <w:abstractNumId w:val="14"/>
  </w:num>
  <w:num w:numId="34" w16cid:durableId="1140461797">
    <w:abstractNumId w:val="7"/>
  </w:num>
  <w:num w:numId="35" w16cid:durableId="1347975461">
    <w:abstractNumId w:val="6"/>
  </w:num>
  <w:num w:numId="36" w16cid:durableId="491682522">
    <w:abstractNumId w:val="18"/>
  </w:num>
  <w:num w:numId="37" w16cid:durableId="195397869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8D"/>
    <w:rsid w:val="00001374"/>
    <w:rsid w:val="00001737"/>
    <w:rsid w:val="00003B6B"/>
    <w:rsid w:val="00011656"/>
    <w:rsid w:val="000122C8"/>
    <w:rsid w:val="00014DD5"/>
    <w:rsid w:val="000229B2"/>
    <w:rsid w:val="000231E2"/>
    <w:rsid w:val="000269EB"/>
    <w:rsid w:val="000304A2"/>
    <w:rsid w:val="00030EE5"/>
    <w:rsid w:val="00037156"/>
    <w:rsid w:val="000372BC"/>
    <w:rsid w:val="0003765A"/>
    <w:rsid w:val="00037A1D"/>
    <w:rsid w:val="00050308"/>
    <w:rsid w:val="0005247A"/>
    <w:rsid w:val="00054C4A"/>
    <w:rsid w:val="00065DA8"/>
    <w:rsid w:val="0007054D"/>
    <w:rsid w:val="0007069C"/>
    <w:rsid w:val="00070B86"/>
    <w:rsid w:val="00071FE7"/>
    <w:rsid w:val="00074F5B"/>
    <w:rsid w:val="00076759"/>
    <w:rsid w:val="00080825"/>
    <w:rsid w:val="000842E8"/>
    <w:rsid w:val="000852BE"/>
    <w:rsid w:val="000919DF"/>
    <w:rsid w:val="000934A3"/>
    <w:rsid w:val="00093FA8"/>
    <w:rsid w:val="00094775"/>
    <w:rsid w:val="00097C2E"/>
    <w:rsid w:val="00097CB1"/>
    <w:rsid w:val="000A3BE8"/>
    <w:rsid w:val="000A660C"/>
    <w:rsid w:val="000A76A3"/>
    <w:rsid w:val="000B3BFA"/>
    <w:rsid w:val="000C029E"/>
    <w:rsid w:val="000C07CF"/>
    <w:rsid w:val="000C6F4E"/>
    <w:rsid w:val="000C7994"/>
    <w:rsid w:val="000D3DBB"/>
    <w:rsid w:val="000D5063"/>
    <w:rsid w:val="000E35E0"/>
    <w:rsid w:val="000E520F"/>
    <w:rsid w:val="000E616B"/>
    <w:rsid w:val="000E7313"/>
    <w:rsid w:val="000F2200"/>
    <w:rsid w:val="000F5D2C"/>
    <w:rsid w:val="001053E0"/>
    <w:rsid w:val="00111DA0"/>
    <w:rsid w:val="00116362"/>
    <w:rsid w:val="00121CC3"/>
    <w:rsid w:val="001226C2"/>
    <w:rsid w:val="00123C6A"/>
    <w:rsid w:val="001252F7"/>
    <w:rsid w:val="0012543D"/>
    <w:rsid w:val="00132FDA"/>
    <w:rsid w:val="00133397"/>
    <w:rsid w:val="00135AF8"/>
    <w:rsid w:val="00136245"/>
    <w:rsid w:val="00141B1C"/>
    <w:rsid w:val="00144B79"/>
    <w:rsid w:val="00151F94"/>
    <w:rsid w:val="00156CFF"/>
    <w:rsid w:val="0016088B"/>
    <w:rsid w:val="00163122"/>
    <w:rsid w:val="00173941"/>
    <w:rsid w:val="0018027C"/>
    <w:rsid w:val="00180C61"/>
    <w:rsid w:val="00187131"/>
    <w:rsid w:val="001A04EA"/>
    <w:rsid w:val="001A0B28"/>
    <w:rsid w:val="001A3FF4"/>
    <w:rsid w:val="001B0FFB"/>
    <w:rsid w:val="001B7E2F"/>
    <w:rsid w:val="001C11E0"/>
    <w:rsid w:val="001C1418"/>
    <w:rsid w:val="001C19E7"/>
    <w:rsid w:val="001C2847"/>
    <w:rsid w:val="001C7590"/>
    <w:rsid w:val="001D1ABA"/>
    <w:rsid w:val="001D3721"/>
    <w:rsid w:val="001E19B7"/>
    <w:rsid w:val="001E3888"/>
    <w:rsid w:val="001E39D3"/>
    <w:rsid w:val="001F39F5"/>
    <w:rsid w:val="001F3CB4"/>
    <w:rsid w:val="001F5CE1"/>
    <w:rsid w:val="001F6312"/>
    <w:rsid w:val="001F6EAB"/>
    <w:rsid w:val="001F7BDB"/>
    <w:rsid w:val="0020171D"/>
    <w:rsid w:val="0020456E"/>
    <w:rsid w:val="00207E78"/>
    <w:rsid w:val="002124EC"/>
    <w:rsid w:val="00213623"/>
    <w:rsid w:val="0021618E"/>
    <w:rsid w:val="00216300"/>
    <w:rsid w:val="0021773C"/>
    <w:rsid w:val="002232B7"/>
    <w:rsid w:val="0022378D"/>
    <w:rsid w:val="00224D85"/>
    <w:rsid w:val="0022725F"/>
    <w:rsid w:val="00234136"/>
    <w:rsid w:val="0023532E"/>
    <w:rsid w:val="00236348"/>
    <w:rsid w:val="00241B4C"/>
    <w:rsid w:val="00243714"/>
    <w:rsid w:val="00247B5F"/>
    <w:rsid w:val="00247C0A"/>
    <w:rsid w:val="002528AC"/>
    <w:rsid w:val="002540D8"/>
    <w:rsid w:val="00257C3C"/>
    <w:rsid w:val="00261C4D"/>
    <w:rsid w:val="00263A8D"/>
    <w:rsid w:val="00270F89"/>
    <w:rsid w:val="002736CB"/>
    <w:rsid w:val="00275728"/>
    <w:rsid w:val="00276FEC"/>
    <w:rsid w:val="00277FBD"/>
    <w:rsid w:val="00277FF5"/>
    <w:rsid w:val="0028028D"/>
    <w:rsid w:val="002827AC"/>
    <w:rsid w:val="00283225"/>
    <w:rsid w:val="00290485"/>
    <w:rsid w:val="00291107"/>
    <w:rsid w:val="00291F31"/>
    <w:rsid w:val="00292EEF"/>
    <w:rsid w:val="0029398B"/>
    <w:rsid w:val="002A1ACB"/>
    <w:rsid w:val="002A2AEF"/>
    <w:rsid w:val="002A468E"/>
    <w:rsid w:val="002B0F98"/>
    <w:rsid w:val="002B2F1E"/>
    <w:rsid w:val="002B2F6C"/>
    <w:rsid w:val="002B37EF"/>
    <w:rsid w:val="002B6BA2"/>
    <w:rsid w:val="002C533B"/>
    <w:rsid w:val="002D1C47"/>
    <w:rsid w:val="002D505F"/>
    <w:rsid w:val="002D7B36"/>
    <w:rsid w:val="002E0CBB"/>
    <w:rsid w:val="002E1FDB"/>
    <w:rsid w:val="002E7412"/>
    <w:rsid w:val="002E77BB"/>
    <w:rsid w:val="002F3F22"/>
    <w:rsid w:val="002F40C0"/>
    <w:rsid w:val="002F4824"/>
    <w:rsid w:val="002F6909"/>
    <w:rsid w:val="003002E8"/>
    <w:rsid w:val="0030113B"/>
    <w:rsid w:val="00302CEC"/>
    <w:rsid w:val="003056FD"/>
    <w:rsid w:val="00306729"/>
    <w:rsid w:val="00313271"/>
    <w:rsid w:val="00320014"/>
    <w:rsid w:val="00321F24"/>
    <w:rsid w:val="00323165"/>
    <w:rsid w:val="00325CAC"/>
    <w:rsid w:val="00327390"/>
    <w:rsid w:val="00335759"/>
    <w:rsid w:val="003441BD"/>
    <w:rsid w:val="00346E98"/>
    <w:rsid w:val="00350FCD"/>
    <w:rsid w:val="003524F9"/>
    <w:rsid w:val="00353F9F"/>
    <w:rsid w:val="00355A3B"/>
    <w:rsid w:val="00357FA9"/>
    <w:rsid w:val="0036033E"/>
    <w:rsid w:val="00360778"/>
    <w:rsid w:val="00360A66"/>
    <w:rsid w:val="00360AAA"/>
    <w:rsid w:val="00364CA0"/>
    <w:rsid w:val="00366A57"/>
    <w:rsid w:val="00371DA6"/>
    <w:rsid w:val="00384068"/>
    <w:rsid w:val="0038509C"/>
    <w:rsid w:val="00386091"/>
    <w:rsid w:val="00386165"/>
    <w:rsid w:val="00386F22"/>
    <w:rsid w:val="00387A55"/>
    <w:rsid w:val="0039172E"/>
    <w:rsid w:val="00394978"/>
    <w:rsid w:val="003A3636"/>
    <w:rsid w:val="003A4B68"/>
    <w:rsid w:val="003A5AEF"/>
    <w:rsid w:val="003B022D"/>
    <w:rsid w:val="003B2555"/>
    <w:rsid w:val="003B32E4"/>
    <w:rsid w:val="003B5906"/>
    <w:rsid w:val="003C2FE7"/>
    <w:rsid w:val="003C3D0F"/>
    <w:rsid w:val="003D35CA"/>
    <w:rsid w:val="003D5FE4"/>
    <w:rsid w:val="003D77C4"/>
    <w:rsid w:val="003E04AB"/>
    <w:rsid w:val="003E0FEC"/>
    <w:rsid w:val="003E3659"/>
    <w:rsid w:val="003E41B4"/>
    <w:rsid w:val="003E454A"/>
    <w:rsid w:val="003E6658"/>
    <w:rsid w:val="003F098D"/>
    <w:rsid w:val="003F0A84"/>
    <w:rsid w:val="00404E61"/>
    <w:rsid w:val="00407AC4"/>
    <w:rsid w:val="00410A51"/>
    <w:rsid w:val="00411FBC"/>
    <w:rsid w:val="00414ACD"/>
    <w:rsid w:val="004162A5"/>
    <w:rsid w:val="00417504"/>
    <w:rsid w:val="00417FAF"/>
    <w:rsid w:val="00420E56"/>
    <w:rsid w:val="0042233F"/>
    <w:rsid w:val="00422C4C"/>
    <w:rsid w:val="00431EE1"/>
    <w:rsid w:val="0043550E"/>
    <w:rsid w:val="00437D64"/>
    <w:rsid w:val="00441331"/>
    <w:rsid w:val="00444BA9"/>
    <w:rsid w:val="004459F5"/>
    <w:rsid w:val="00445C92"/>
    <w:rsid w:val="00451653"/>
    <w:rsid w:val="00454DCD"/>
    <w:rsid w:val="00457775"/>
    <w:rsid w:val="00457965"/>
    <w:rsid w:val="0046765D"/>
    <w:rsid w:val="00477481"/>
    <w:rsid w:val="00482621"/>
    <w:rsid w:val="00487806"/>
    <w:rsid w:val="004921EC"/>
    <w:rsid w:val="00493049"/>
    <w:rsid w:val="004943FB"/>
    <w:rsid w:val="00496140"/>
    <w:rsid w:val="00496C18"/>
    <w:rsid w:val="004A4DDD"/>
    <w:rsid w:val="004A5D62"/>
    <w:rsid w:val="004A7302"/>
    <w:rsid w:val="004B3AED"/>
    <w:rsid w:val="004B4550"/>
    <w:rsid w:val="004B6E24"/>
    <w:rsid w:val="004C2428"/>
    <w:rsid w:val="004C2A60"/>
    <w:rsid w:val="004C4083"/>
    <w:rsid w:val="004C548B"/>
    <w:rsid w:val="004C5E91"/>
    <w:rsid w:val="004C6766"/>
    <w:rsid w:val="004C6A41"/>
    <w:rsid w:val="004D1FD3"/>
    <w:rsid w:val="004D284E"/>
    <w:rsid w:val="004D404A"/>
    <w:rsid w:val="004E1BD3"/>
    <w:rsid w:val="004E430D"/>
    <w:rsid w:val="004E4FC8"/>
    <w:rsid w:val="004E6BB2"/>
    <w:rsid w:val="004E7860"/>
    <w:rsid w:val="004F0FF5"/>
    <w:rsid w:val="004F4025"/>
    <w:rsid w:val="004F4E57"/>
    <w:rsid w:val="004F5A29"/>
    <w:rsid w:val="00500041"/>
    <w:rsid w:val="00500734"/>
    <w:rsid w:val="00502B8E"/>
    <w:rsid w:val="00505B2C"/>
    <w:rsid w:val="00510880"/>
    <w:rsid w:val="0051192B"/>
    <w:rsid w:val="00511FBF"/>
    <w:rsid w:val="00514AAD"/>
    <w:rsid w:val="00520C56"/>
    <w:rsid w:val="00522671"/>
    <w:rsid w:val="00525011"/>
    <w:rsid w:val="00526178"/>
    <w:rsid w:val="0052622B"/>
    <w:rsid w:val="00532D5D"/>
    <w:rsid w:val="00535D99"/>
    <w:rsid w:val="00536CA5"/>
    <w:rsid w:val="00537E5A"/>
    <w:rsid w:val="0054137C"/>
    <w:rsid w:val="0054141B"/>
    <w:rsid w:val="0054239C"/>
    <w:rsid w:val="00543409"/>
    <w:rsid w:val="00545331"/>
    <w:rsid w:val="005474A4"/>
    <w:rsid w:val="00560C19"/>
    <w:rsid w:val="00562288"/>
    <w:rsid w:val="005635C6"/>
    <w:rsid w:val="00565FA6"/>
    <w:rsid w:val="005700B0"/>
    <w:rsid w:val="00571141"/>
    <w:rsid w:val="00580549"/>
    <w:rsid w:val="005816BE"/>
    <w:rsid w:val="00582E29"/>
    <w:rsid w:val="005838B4"/>
    <w:rsid w:val="00584225"/>
    <w:rsid w:val="0058700E"/>
    <w:rsid w:val="00590BFF"/>
    <w:rsid w:val="0059253B"/>
    <w:rsid w:val="00597FE2"/>
    <w:rsid w:val="005A12DD"/>
    <w:rsid w:val="005A155C"/>
    <w:rsid w:val="005A279C"/>
    <w:rsid w:val="005A4FDE"/>
    <w:rsid w:val="005B1316"/>
    <w:rsid w:val="005B253C"/>
    <w:rsid w:val="005B458E"/>
    <w:rsid w:val="005C0E62"/>
    <w:rsid w:val="005C17E5"/>
    <w:rsid w:val="005C5008"/>
    <w:rsid w:val="005D1005"/>
    <w:rsid w:val="005D4D65"/>
    <w:rsid w:val="005D57D9"/>
    <w:rsid w:val="005D7E11"/>
    <w:rsid w:val="005E05D1"/>
    <w:rsid w:val="005F5162"/>
    <w:rsid w:val="005F56E5"/>
    <w:rsid w:val="005F5F44"/>
    <w:rsid w:val="005F77FC"/>
    <w:rsid w:val="00600BE0"/>
    <w:rsid w:val="00605663"/>
    <w:rsid w:val="00605A8A"/>
    <w:rsid w:val="00607D4A"/>
    <w:rsid w:val="0061191A"/>
    <w:rsid w:val="006129A2"/>
    <w:rsid w:val="00616F40"/>
    <w:rsid w:val="0062598C"/>
    <w:rsid w:val="00626095"/>
    <w:rsid w:val="00630AF6"/>
    <w:rsid w:val="0063319C"/>
    <w:rsid w:val="00634DBA"/>
    <w:rsid w:val="00636C09"/>
    <w:rsid w:val="00636E77"/>
    <w:rsid w:val="00646AF2"/>
    <w:rsid w:val="00655B53"/>
    <w:rsid w:val="00660D4E"/>
    <w:rsid w:val="00662235"/>
    <w:rsid w:val="006704A5"/>
    <w:rsid w:val="00671809"/>
    <w:rsid w:val="00680272"/>
    <w:rsid w:val="00683D87"/>
    <w:rsid w:val="00687FEE"/>
    <w:rsid w:val="00691D59"/>
    <w:rsid w:val="00695D87"/>
    <w:rsid w:val="006A06B7"/>
    <w:rsid w:val="006A5B54"/>
    <w:rsid w:val="006A6D9B"/>
    <w:rsid w:val="006B0644"/>
    <w:rsid w:val="006B3924"/>
    <w:rsid w:val="006C1E6A"/>
    <w:rsid w:val="006C2A2B"/>
    <w:rsid w:val="006C328D"/>
    <w:rsid w:val="006C34BC"/>
    <w:rsid w:val="006C6113"/>
    <w:rsid w:val="006C7147"/>
    <w:rsid w:val="006D0645"/>
    <w:rsid w:val="006D0BEC"/>
    <w:rsid w:val="006D4580"/>
    <w:rsid w:val="006E0EC7"/>
    <w:rsid w:val="006E2647"/>
    <w:rsid w:val="006E5939"/>
    <w:rsid w:val="006E7967"/>
    <w:rsid w:val="006F0F39"/>
    <w:rsid w:val="006F4776"/>
    <w:rsid w:val="006F7B37"/>
    <w:rsid w:val="00703C44"/>
    <w:rsid w:val="00707514"/>
    <w:rsid w:val="007107F6"/>
    <w:rsid w:val="007114D9"/>
    <w:rsid w:val="00714DCD"/>
    <w:rsid w:val="007166E6"/>
    <w:rsid w:val="00720C17"/>
    <w:rsid w:val="00722770"/>
    <w:rsid w:val="0072481F"/>
    <w:rsid w:val="00726DDF"/>
    <w:rsid w:val="007274A7"/>
    <w:rsid w:val="00730AD9"/>
    <w:rsid w:val="007324AB"/>
    <w:rsid w:val="007335B0"/>
    <w:rsid w:val="00743150"/>
    <w:rsid w:val="007459B1"/>
    <w:rsid w:val="007631D8"/>
    <w:rsid w:val="007642F2"/>
    <w:rsid w:val="00764700"/>
    <w:rsid w:val="00766A82"/>
    <w:rsid w:val="007701E6"/>
    <w:rsid w:val="007747C1"/>
    <w:rsid w:val="007750CD"/>
    <w:rsid w:val="0077749A"/>
    <w:rsid w:val="00783487"/>
    <w:rsid w:val="007964F7"/>
    <w:rsid w:val="007A08A9"/>
    <w:rsid w:val="007A1013"/>
    <w:rsid w:val="007A2076"/>
    <w:rsid w:val="007A2DAB"/>
    <w:rsid w:val="007A3336"/>
    <w:rsid w:val="007A59CC"/>
    <w:rsid w:val="007B01C8"/>
    <w:rsid w:val="007B5FBA"/>
    <w:rsid w:val="007C284B"/>
    <w:rsid w:val="007C515B"/>
    <w:rsid w:val="007D29EA"/>
    <w:rsid w:val="007D5F15"/>
    <w:rsid w:val="007D6677"/>
    <w:rsid w:val="007D6687"/>
    <w:rsid w:val="007E29D7"/>
    <w:rsid w:val="007E3F76"/>
    <w:rsid w:val="007E4F7E"/>
    <w:rsid w:val="007E596C"/>
    <w:rsid w:val="007F5505"/>
    <w:rsid w:val="007F6534"/>
    <w:rsid w:val="007F78F7"/>
    <w:rsid w:val="0080073B"/>
    <w:rsid w:val="00800758"/>
    <w:rsid w:val="00801AF3"/>
    <w:rsid w:val="00802895"/>
    <w:rsid w:val="00806305"/>
    <w:rsid w:val="00806824"/>
    <w:rsid w:val="008076AB"/>
    <w:rsid w:val="008131DA"/>
    <w:rsid w:val="00816E68"/>
    <w:rsid w:val="0082139A"/>
    <w:rsid w:val="00821D8C"/>
    <w:rsid w:val="00822391"/>
    <w:rsid w:val="00822987"/>
    <w:rsid w:val="008263CB"/>
    <w:rsid w:val="008268AE"/>
    <w:rsid w:val="0082789A"/>
    <w:rsid w:val="00830D33"/>
    <w:rsid w:val="0083268D"/>
    <w:rsid w:val="008475F7"/>
    <w:rsid w:val="00847840"/>
    <w:rsid w:val="008503E3"/>
    <w:rsid w:val="008508A0"/>
    <w:rsid w:val="0085128B"/>
    <w:rsid w:val="00851341"/>
    <w:rsid w:val="00852D75"/>
    <w:rsid w:val="00853894"/>
    <w:rsid w:val="008545D6"/>
    <w:rsid w:val="00855931"/>
    <w:rsid w:val="0085797F"/>
    <w:rsid w:val="00860971"/>
    <w:rsid w:val="0086284E"/>
    <w:rsid w:val="0086401D"/>
    <w:rsid w:val="0086424B"/>
    <w:rsid w:val="008660FA"/>
    <w:rsid w:val="0086631B"/>
    <w:rsid w:val="008669EB"/>
    <w:rsid w:val="008706EB"/>
    <w:rsid w:val="00873652"/>
    <w:rsid w:val="00874DCD"/>
    <w:rsid w:val="008750BC"/>
    <w:rsid w:val="00877909"/>
    <w:rsid w:val="008801CB"/>
    <w:rsid w:val="00880616"/>
    <w:rsid w:val="00887F60"/>
    <w:rsid w:val="008A01AC"/>
    <w:rsid w:val="008A36FF"/>
    <w:rsid w:val="008A77D5"/>
    <w:rsid w:val="008B016D"/>
    <w:rsid w:val="008B10F4"/>
    <w:rsid w:val="008B4ECF"/>
    <w:rsid w:val="008B547C"/>
    <w:rsid w:val="008C2B33"/>
    <w:rsid w:val="008C3C7C"/>
    <w:rsid w:val="008D2336"/>
    <w:rsid w:val="008D2A9F"/>
    <w:rsid w:val="008D50FC"/>
    <w:rsid w:val="008D53BF"/>
    <w:rsid w:val="008D7CDE"/>
    <w:rsid w:val="008E2590"/>
    <w:rsid w:val="008E632E"/>
    <w:rsid w:val="008F481B"/>
    <w:rsid w:val="009116D3"/>
    <w:rsid w:val="009121ED"/>
    <w:rsid w:val="0091329D"/>
    <w:rsid w:val="00920E0D"/>
    <w:rsid w:val="0092365A"/>
    <w:rsid w:val="00926941"/>
    <w:rsid w:val="00940812"/>
    <w:rsid w:val="00940BB2"/>
    <w:rsid w:val="00941013"/>
    <w:rsid w:val="009413A8"/>
    <w:rsid w:val="00944050"/>
    <w:rsid w:val="00944235"/>
    <w:rsid w:val="009455B4"/>
    <w:rsid w:val="0095119E"/>
    <w:rsid w:val="00952AE2"/>
    <w:rsid w:val="00953F10"/>
    <w:rsid w:val="00954583"/>
    <w:rsid w:val="009561B8"/>
    <w:rsid w:val="00957725"/>
    <w:rsid w:val="00963600"/>
    <w:rsid w:val="00963E23"/>
    <w:rsid w:val="00967997"/>
    <w:rsid w:val="00967D8C"/>
    <w:rsid w:val="00970754"/>
    <w:rsid w:val="00970B0F"/>
    <w:rsid w:val="009728C3"/>
    <w:rsid w:val="00977A44"/>
    <w:rsid w:val="00986EAF"/>
    <w:rsid w:val="00996328"/>
    <w:rsid w:val="009964FF"/>
    <w:rsid w:val="009A3081"/>
    <w:rsid w:val="009A39C6"/>
    <w:rsid w:val="009A42D3"/>
    <w:rsid w:val="009A7ECF"/>
    <w:rsid w:val="009B087A"/>
    <w:rsid w:val="009B1114"/>
    <w:rsid w:val="009B5FE0"/>
    <w:rsid w:val="009B6927"/>
    <w:rsid w:val="009B69F0"/>
    <w:rsid w:val="009B6AA3"/>
    <w:rsid w:val="009B769E"/>
    <w:rsid w:val="009C08F9"/>
    <w:rsid w:val="009C2C2E"/>
    <w:rsid w:val="009C7A9B"/>
    <w:rsid w:val="009D0BA3"/>
    <w:rsid w:val="009D1CF2"/>
    <w:rsid w:val="009D30FD"/>
    <w:rsid w:val="009D671A"/>
    <w:rsid w:val="009E0B73"/>
    <w:rsid w:val="009E0C9E"/>
    <w:rsid w:val="009E56CF"/>
    <w:rsid w:val="009E6083"/>
    <w:rsid w:val="009F20DB"/>
    <w:rsid w:val="009F231F"/>
    <w:rsid w:val="009F509C"/>
    <w:rsid w:val="009F695C"/>
    <w:rsid w:val="009F6E2C"/>
    <w:rsid w:val="00A02CF9"/>
    <w:rsid w:val="00A05FA1"/>
    <w:rsid w:val="00A07757"/>
    <w:rsid w:val="00A07DA8"/>
    <w:rsid w:val="00A20862"/>
    <w:rsid w:val="00A22B63"/>
    <w:rsid w:val="00A242DC"/>
    <w:rsid w:val="00A26E31"/>
    <w:rsid w:val="00A2772B"/>
    <w:rsid w:val="00A41A23"/>
    <w:rsid w:val="00A446D7"/>
    <w:rsid w:val="00A46149"/>
    <w:rsid w:val="00A46B85"/>
    <w:rsid w:val="00A47A4B"/>
    <w:rsid w:val="00A51872"/>
    <w:rsid w:val="00A60C69"/>
    <w:rsid w:val="00A64F1B"/>
    <w:rsid w:val="00A66264"/>
    <w:rsid w:val="00A66974"/>
    <w:rsid w:val="00A75059"/>
    <w:rsid w:val="00A80BE9"/>
    <w:rsid w:val="00A85980"/>
    <w:rsid w:val="00A93996"/>
    <w:rsid w:val="00A973CB"/>
    <w:rsid w:val="00AA3851"/>
    <w:rsid w:val="00AA3E3C"/>
    <w:rsid w:val="00AB0A51"/>
    <w:rsid w:val="00AB1DD5"/>
    <w:rsid w:val="00AB2E1B"/>
    <w:rsid w:val="00AB3447"/>
    <w:rsid w:val="00AC70FB"/>
    <w:rsid w:val="00AD011B"/>
    <w:rsid w:val="00AD2BF9"/>
    <w:rsid w:val="00AD3BE4"/>
    <w:rsid w:val="00AD7FA1"/>
    <w:rsid w:val="00AE361D"/>
    <w:rsid w:val="00AE44ED"/>
    <w:rsid w:val="00AE70E2"/>
    <w:rsid w:val="00AF1591"/>
    <w:rsid w:val="00AF2E12"/>
    <w:rsid w:val="00AF30FE"/>
    <w:rsid w:val="00AF5712"/>
    <w:rsid w:val="00B16910"/>
    <w:rsid w:val="00B20C96"/>
    <w:rsid w:val="00B336D2"/>
    <w:rsid w:val="00B34A24"/>
    <w:rsid w:val="00B37186"/>
    <w:rsid w:val="00B423FB"/>
    <w:rsid w:val="00B47345"/>
    <w:rsid w:val="00B5255B"/>
    <w:rsid w:val="00B612B9"/>
    <w:rsid w:val="00B64B02"/>
    <w:rsid w:val="00B656E1"/>
    <w:rsid w:val="00B66227"/>
    <w:rsid w:val="00B73E58"/>
    <w:rsid w:val="00B753E5"/>
    <w:rsid w:val="00B75AEF"/>
    <w:rsid w:val="00B77A54"/>
    <w:rsid w:val="00B833C6"/>
    <w:rsid w:val="00B841BF"/>
    <w:rsid w:val="00B85455"/>
    <w:rsid w:val="00B86072"/>
    <w:rsid w:val="00B86CFF"/>
    <w:rsid w:val="00B87AAD"/>
    <w:rsid w:val="00B94DC1"/>
    <w:rsid w:val="00B95412"/>
    <w:rsid w:val="00BA3E92"/>
    <w:rsid w:val="00BA5E46"/>
    <w:rsid w:val="00BA6310"/>
    <w:rsid w:val="00BA78FF"/>
    <w:rsid w:val="00BB01EF"/>
    <w:rsid w:val="00BB2B55"/>
    <w:rsid w:val="00BB3794"/>
    <w:rsid w:val="00BB6D69"/>
    <w:rsid w:val="00BC0359"/>
    <w:rsid w:val="00BC5A1B"/>
    <w:rsid w:val="00BD1744"/>
    <w:rsid w:val="00BD7216"/>
    <w:rsid w:val="00BE51D0"/>
    <w:rsid w:val="00BE72D7"/>
    <w:rsid w:val="00BF30FF"/>
    <w:rsid w:val="00BF34F5"/>
    <w:rsid w:val="00BF403F"/>
    <w:rsid w:val="00BF47D1"/>
    <w:rsid w:val="00BF5D3C"/>
    <w:rsid w:val="00BF7156"/>
    <w:rsid w:val="00BF7F51"/>
    <w:rsid w:val="00C014CB"/>
    <w:rsid w:val="00C0277D"/>
    <w:rsid w:val="00C03406"/>
    <w:rsid w:val="00C04245"/>
    <w:rsid w:val="00C11636"/>
    <w:rsid w:val="00C15C02"/>
    <w:rsid w:val="00C22E50"/>
    <w:rsid w:val="00C25539"/>
    <w:rsid w:val="00C31BE3"/>
    <w:rsid w:val="00C3525F"/>
    <w:rsid w:val="00C35F1F"/>
    <w:rsid w:val="00C365BD"/>
    <w:rsid w:val="00C37111"/>
    <w:rsid w:val="00C425AE"/>
    <w:rsid w:val="00C425E8"/>
    <w:rsid w:val="00C45AEF"/>
    <w:rsid w:val="00C52B67"/>
    <w:rsid w:val="00C603D2"/>
    <w:rsid w:val="00C61347"/>
    <w:rsid w:val="00C648A6"/>
    <w:rsid w:val="00C6501E"/>
    <w:rsid w:val="00C67D4D"/>
    <w:rsid w:val="00C70D3C"/>
    <w:rsid w:val="00C72896"/>
    <w:rsid w:val="00C82A11"/>
    <w:rsid w:val="00C871C5"/>
    <w:rsid w:val="00C8763F"/>
    <w:rsid w:val="00C913C7"/>
    <w:rsid w:val="00C92FA8"/>
    <w:rsid w:val="00C94165"/>
    <w:rsid w:val="00CA0CE1"/>
    <w:rsid w:val="00CA3C97"/>
    <w:rsid w:val="00CB01B8"/>
    <w:rsid w:val="00CC44E6"/>
    <w:rsid w:val="00CC4700"/>
    <w:rsid w:val="00CC487E"/>
    <w:rsid w:val="00CC65CA"/>
    <w:rsid w:val="00CD42D9"/>
    <w:rsid w:val="00CD6EC9"/>
    <w:rsid w:val="00CE1853"/>
    <w:rsid w:val="00CE22DC"/>
    <w:rsid w:val="00CE42AC"/>
    <w:rsid w:val="00CF0C83"/>
    <w:rsid w:val="00D008E5"/>
    <w:rsid w:val="00D00C23"/>
    <w:rsid w:val="00D01D2A"/>
    <w:rsid w:val="00D021A9"/>
    <w:rsid w:val="00D025AF"/>
    <w:rsid w:val="00D04249"/>
    <w:rsid w:val="00D050A6"/>
    <w:rsid w:val="00D11D8C"/>
    <w:rsid w:val="00D12199"/>
    <w:rsid w:val="00D132DA"/>
    <w:rsid w:val="00D200C2"/>
    <w:rsid w:val="00D22F11"/>
    <w:rsid w:val="00D23674"/>
    <w:rsid w:val="00D2623F"/>
    <w:rsid w:val="00D309A2"/>
    <w:rsid w:val="00D30ACE"/>
    <w:rsid w:val="00D3233B"/>
    <w:rsid w:val="00D3258E"/>
    <w:rsid w:val="00D326A0"/>
    <w:rsid w:val="00D44B81"/>
    <w:rsid w:val="00D511C8"/>
    <w:rsid w:val="00D528B5"/>
    <w:rsid w:val="00D5548F"/>
    <w:rsid w:val="00D556A9"/>
    <w:rsid w:val="00D63E22"/>
    <w:rsid w:val="00D645D7"/>
    <w:rsid w:val="00D645E9"/>
    <w:rsid w:val="00D646AD"/>
    <w:rsid w:val="00D67036"/>
    <w:rsid w:val="00D708FC"/>
    <w:rsid w:val="00D75ACE"/>
    <w:rsid w:val="00D76F34"/>
    <w:rsid w:val="00D773A0"/>
    <w:rsid w:val="00D81569"/>
    <w:rsid w:val="00D862F3"/>
    <w:rsid w:val="00D9236A"/>
    <w:rsid w:val="00D97C41"/>
    <w:rsid w:val="00DA15ED"/>
    <w:rsid w:val="00DA7315"/>
    <w:rsid w:val="00DB108E"/>
    <w:rsid w:val="00DB161F"/>
    <w:rsid w:val="00DB6CFA"/>
    <w:rsid w:val="00DC26CE"/>
    <w:rsid w:val="00DD312C"/>
    <w:rsid w:val="00DD7545"/>
    <w:rsid w:val="00DE628B"/>
    <w:rsid w:val="00DE6CF7"/>
    <w:rsid w:val="00DF36DA"/>
    <w:rsid w:val="00DF4F84"/>
    <w:rsid w:val="00DF610E"/>
    <w:rsid w:val="00DF67AF"/>
    <w:rsid w:val="00DF7B1D"/>
    <w:rsid w:val="00DF7C84"/>
    <w:rsid w:val="00E00DDC"/>
    <w:rsid w:val="00E06070"/>
    <w:rsid w:val="00E0640D"/>
    <w:rsid w:val="00E11C75"/>
    <w:rsid w:val="00E16C0A"/>
    <w:rsid w:val="00E2138C"/>
    <w:rsid w:val="00E21A26"/>
    <w:rsid w:val="00E30023"/>
    <w:rsid w:val="00E30283"/>
    <w:rsid w:val="00E32A22"/>
    <w:rsid w:val="00E33240"/>
    <w:rsid w:val="00E50590"/>
    <w:rsid w:val="00E50988"/>
    <w:rsid w:val="00E52756"/>
    <w:rsid w:val="00E53E02"/>
    <w:rsid w:val="00E564DA"/>
    <w:rsid w:val="00E62B4B"/>
    <w:rsid w:val="00E653C9"/>
    <w:rsid w:val="00E72BAC"/>
    <w:rsid w:val="00E75992"/>
    <w:rsid w:val="00E77D6A"/>
    <w:rsid w:val="00E82AF3"/>
    <w:rsid w:val="00E82CA6"/>
    <w:rsid w:val="00E83771"/>
    <w:rsid w:val="00E84E32"/>
    <w:rsid w:val="00E902E0"/>
    <w:rsid w:val="00E93138"/>
    <w:rsid w:val="00E96144"/>
    <w:rsid w:val="00E96154"/>
    <w:rsid w:val="00EA2910"/>
    <w:rsid w:val="00EA3A16"/>
    <w:rsid w:val="00EA401A"/>
    <w:rsid w:val="00EA5D9F"/>
    <w:rsid w:val="00EA6032"/>
    <w:rsid w:val="00EB03F8"/>
    <w:rsid w:val="00EB139E"/>
    <w:rsid w:val="00EB2D9E"/>
    <w:rsid w:val="00EB46D4"/>
    <w:rsid w:val="00EB4C96"/>
    <w:rsid w:val="00EB6BC2"/>
    <w:rsid w:val="00EC1625"/>
    <w:rsid w:val="00EC2BF4"/>
    <w:rsid w:val="00EC4129"/>
    <w:rsid w:val="00EC494A"/>
    <w:rsid w:val="00ED22F8"/>
    <w:rsid w:val="00ED452E"/>
    <w:rsid w:val="00ED7067"/>
    <w:rsid w:val="00EE0CD9"/>
    <w:rsid w:val="00EE1F50"/>
    <w:rsid w:val="00EE29E0"/>
    <w:rsid w:val="00EE3436"/>
    <w:rsid w:val="00EF2077"/>
    <w:rsid w:val="00EF3E50"/>
    <w:rsid w:val="00EF3F2E"/>
    <w:rsid w:val="00EF515F"/>
    <w:rsid w:val="00F0304C"/>
    <w:rsid w:val="00F03EFF"/>
    <w:rsid w:val="00F03FCE"/>
    <w:rsid w:val="00F061CC"/>
    <w:rsid w:val="00F102DA"/>
    <w:rsid w:val="00F13602"/>
    <w:rsid w:val="00F14ACC"/>
    <w:rsid w:val="00F30A1A"/>
    <w:rsid w:val="00F30D2B"/>
    <w:rsid w:val="00F36A09"/>
    <w:rsid w:val="00F36CB7"/>
    <w:rsid w:val="00F37052"/>
    <w:rsid w:val="00F41181"/>
    <w:rsid w:val="00F43AE8"/>
    <w:rsid w:val="00F450D3"/>
    <w:rsid w:val="00F46924"/>
    <w:rsid w:val="00F47F22"/>
    <w:rsid w:val="00F512A0"/>
    <w:rsid w:val="00F55609"/>
    <w:rsid w:val="00F5630A"/>
    <w:rsid w:val="00F61888"/>
    <w:rsid w:val="00F62A99"/>
    <w:rsid w:val="00F66E16"/>
    <w:rsid w:val="00F7122C"/>
    <w:rsid w:val="00F75C20"/>
    <w:rsid w:val="00F772C4"/>
    <w:rsid w:val="00F81860"/>
    <w:rsid w:val="00F87358"/>
    <w:rsid w:val="00F917C6"/>
    <w:rsid w:val="00F93BF6"/>
    <w:rsid w:val="00FA0F6C"/>
    <w:rsid w:val="00FA4D2A"/>
    <w:rsid w:val="00FA5581"/>
    <w:rsid w:val="00FA774F"/>
    <w:rsid w:val="00FB1E5D"/>
    <w:rsid w:val="00FB222F"/>
    <w:rsid w:val="00FB283A"/>
    <w:rsid w:val="00FB3DE6"/>
    <w:rsid w:val="00FB415F"/>
    <w:rsid w:val="00FB69A2"/>
    <w:rsid w:val="00FC2183"/>
    <w:rsid w:val="00FC3F24"/>
    <w:rsid w:val="00FC4A07"/>
    <w:rsid w:val="00FC625E"/>
    <w:rsid w:val="00FC6BB0"/>
    <w:rsid w:val="00FD27B0"/>
    <w:rsid w:val="00FE0523"/>
    <w:rsid w:val="00FE11B1"/>
    <w:rsid w:val="00FE20E6"/>
    <w:rsid w:val="00FE5006"/>
    <w:rsid w:val="00FE53FB"/>
    <w:rsid w:val="00FE572A"/>
    <w:rsid w:val="00FE7B4B"/>
    <w:rsid w:val="00FF05EE"/>
    <w:rsid w:val="00FF114C"/>
    <w:rsid w:val="00FF2540"/>
    <w:rsid w:val="00FF3AD7"/>
    <w:rsid w:val="00FF659B"/>
    <w:rsid w:val="00FF65BA"/>
    <w:rsid w:val="00FF6D32"/>
    <w:rsid w:val="00FF78FC"/>
    <w:rsid w:val="017B28AF"/>
    <w:rsid w:val="0360F8BF"/>
    <w:rsid w:val="03EA2EEC"/>
    <w:rsid w:val="05D363E0"/>
    <w:rsid w:val="060F75AD"/>
    <w:rsid w:val="0790D3F1"/>
    <w:rsid w:val="07B825F0"/>
    <w:rsid w:val="17A66A4B"/>
    <w:rsid w:val="1A37F6A1"/>
    <w:rsid w:val="1AAED874"/>
    <w:rsid w:val="22E20EB0"/>
    <w:rsid w:val="244F15FF"/>
    <w:rsid w:val="260D3260"/>
    <w:rsid w:val="28F6480E"/>
    <w:rsid w:val="2D479206"/>
    <w:rsid w:val="2F735A64"/>
    <w:rsid w:val="2FBEE2F3"/>
    <w:rsid w:val="317CDEAD"/>
    <w:rsid w:val="3245B9CB"/>
    <w:rsid w:val="32FD04FB"/>
    <w:rsid w:val="34988D58"/>
    <w:rsid w:val="39BF85E3"/>
    <w:rsid w:val="3EEA94AD"/>
    <w:rsid w:val="46526F09"/>
    <w:rsid w:val="47052B37"/>
    <w:rsid w:val="4DA1121D"/>
    <w:rsid w:val="4FE028F2"/>
    <w:rsid w:val="52847E88"/>
    <w:rsid w:val="5FC6A48D"/>
    <w:rsid w:val="61F9A7D3"/>
    <w:rsid w:val="6421B071"/>
    <w:rsid w:val="67A669E1"/>
    <w:rsid w:val="69D1C621"/>
    <w:rsid w:val="7994B486"/>
    <w:rsid w:val="7AA9AFE1"/>
    <w:rsid w:val="7E03B432"/>
    <w:rsid w:val="7EB951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013A4"/>
  <w15:docId w15:val="{4F772CC4-066C-4000-A11A-9C7D7DC4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722770"/>
    <w:pPr>
      <w:numPr>
        <w:numId w:val="31"/>
      </w:numPr>
    </w:pPr>
  </w:style>
  <w:style w:type="paragraph" w:customStyle="1" w:styleId="Bullet2">
    <w:name w:val="Bullet 2"/>
    <w:basedOn w:val="Normal"/>
    <w:uiPriority w:val="2"/>
    <w:qFormat/>
    <w:rsid w:val="00722770"/>
    <w:pPr>
      <w:numPr>
        <w:ilvl w:val="1"/>
        <w:numId w:val="33"/>
      </w:numPr>
    </w:pPr>
  </w:style>
  <w:style w:type="paragraph" w:customStyle="1" w:styleId="Bullet3">
    <w:name w:val="Bullet 3"/>
    <w:basedOn w:val="Normal"/>
    <w:uiPriority w:val="2"/>
    <w:qFormat/>
    <w:rsid w:val="00722770"/>
    <w:pPr>
      <w:numPr>
        <w:ilvl w:val="2"/>
        <w:numId w:val="3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2C533B"/>
    <w:pPr>
      <w:spacing w:before="40" w:after="160" w:line="280" w:lineRule="exact"/>
      <w:ind w:left="720"/>
      <w:contextualSpacing/>
    </w:pPr>
    <w:rPr>
      <w:rFonts w:ascii="Arial" w:hAnsi="Arial"/>
      <w:color w:val="auto"/>
    </w:rPr>
  </w:style>
  <w:style w:type="character" w:customStyle="1" w:styleId="ListParagraphChar">
    <w:name w:val="List Paragraph Char"/>
    <w:basedOn w:val="DefaultParagraphFont"/>
    <w:link w:val="ListParagraph"/>
    <w:uiPriority w:val="34"/>
    <w:rsid w:val="002C533B"/>
    <w:rPr>
      <w:rFonts w:ascii="Arial" w:hAnsi="Arial"/>
      <w:color w:val="auto"/>
    </w:rPr>
  </w:style>
  <w:style w:type="paragraph" w:styleId="FootnoteText">
    <w:name w:val="footnote text"/>
    <w:basedOn w:val="Normal"/>
    <w:link w:val="FootnoteTextChar"/>
    <w:uiPriority w:val="99"/>
    <w:unhideWhenUsed/>
    <w:rsid w:val="002C533B"/>
    <w:pPr>
      <w:spacing w:before="0" w:after="0"/>
    </w:pPr>
    <w:rPr>
      <w:color w:val="auto"/>
      <w:sz w:val="20"/>
      <w:szCs w:val="20"/>
      <w:lang w:val="en-GB"/>
    </w:rPr>
  </w:style>
  <w:style w:type="character" w:customStyle="1" w:styleId="FootnoteTextChar">
    <w:name w:val="Footnote Text Char"/>
    <w:basedOn w:val="DefaultParagraphFont"/>
    <w:link w:val="FootnoteText"/>
    <w:uiPriority w:val="99"/>
    <w:rsid w:val="002C533B"/>
    <w:rPr>
      <w:color w:val="auto"/>
      <w:sz w:val="20"/>
      <w:szCs w:val="20"/>
      <w:lang w:val="en-GB"/>
    </w:rPr>
  </w:style>
  <w:style w:type="character" w:styleId="FootnoteReference">
    <w:name w:val="footnote reference"/>
    <w:basedOn w:val="DefaultParagraphFont"/>
    <w:uiPriority w:val="99"/>
    <w:semiHidden/>
    <w:unhideWhenUsed/>
    <w:rsid w:val="002C533B"/>
    <w:rPr>
      <w:vertAlign w:val="superscript"/>
    </w:rPr>
  </w:style>
  <w:style w:type="character" w:styleId="Hyperlink">
    <w:name w:val="Hyperlink"/>
    <w:basedOn w:val="DefaultParagraphFont"/>
    <w:uiPriority w:val="99"/>
    <w:unhideWhenUsed/>
    <w:rsid w:val="00722770"/>
    <w:rPr>
      <w:color w:val="004D7D"/>
      <w:u w:val="single"/>
    </w:rPr>
  </w:style>
  <w:style w:type="paragraph" w:customStyle="1" w:styleId="Normal1">
    <w:name w:val="Normal1"/>
    <w:basedOn w:val="Normal"/>
    <w:rsid w:val="002C533B"/>
    <w:pPr>
      <w:spacing w:before="0" w:after="0" w:line="276" w:lineRule="auto"/>
    </w:pPr>
    <w:rPr>
      <w:rFonts w:ascii="Arial" w:hAnsi="Arial" w:cs="Arial"/>
      <w:color w:val="000000"/>
    </w:rPr>
  </w:style>
  <w:style w:type="character" w:styleId="SubtleEmphasis">
    <w:name w:val="Subtle Emphasis"/>
    <w:basedOn w:val="DefaultParagraphFont"/>
    <w:uiPriority w:val="19"/>
    <w:qFormat/>
    <w:rsid w:val="007A08A9"/>
    <w:rPr>
      <w:i/>
      <w:iCs/>
      <w:color w:val="808080" w:themeColor="text1" w:themeTint="7F"/>
    </w:rPr>
  </w:style>
  <w:style w:type="table" w:styleId="TableGrid">
    <w:name w:val="Table Grid"/>
    <w:basedOn w:val="TableNormal"/>
    <w:uiPriority w:val="59"/>
    <w:rsid w:val="006C1E6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7B36"/>
    <w:rPr>
      <w:sz w:val="16"/>
      <w:szCs w:val="16"/>
    </w:rPr>
  </w:style>
  <w:style w:type="paragraph" w:styleId="CommentText">
    <w:name w:val="annotation text"/>
    <w:basedOn w:val="Normal"/>
    <w:link w:val="CommentTextChar"/>
    <w:uiPriority w:val="99"/>
    <w:unhideWhenUsed/>
    <w:rsid w:val="002D7B36"/>
    <w:rPr>
      <w:sz w:val="20"/>
      <w:szCs w:val="20"/>
    </w:rPr>
  </w:style>
  <w:style w:type="character" w:customStyle="1" w:styleId="CommentTextChar">
    <w:name w:val="Comment Text Char"/>
    <w:basedOn w:val="DefaultParagraphFont"/>
    <w:link w:val="CommentText"/>
    <w:uiPriority w:val="99"/>
    <w:rsid w:val="002D7B36"/>
    <w:rPr>
      <w:sz w:val="20"/>
      <w:szCs w:val="20"/>
    </w:rPr>
  </w:style>
  <w:style w:type="paragraph" w:styleId="CommentSubject">
    <w:name w:val="annotation subject"/>
    <w:basedOn w:val="CommentText"/>
    <w:next w:val="CommentText"/>
    <w:link w:val="CommentSubjectChar"/>
    <w:uiPriority w:val="99"/>
    <w:semiHidden/>
    <w:unhideWhenUsed/>
    <w:rsid w:val="002D7B36"/>
    <w:rPr>
      <w:b/>
      <w:bCs/>
    </w:rPr>
  </w:style>
  <w:style w:type="character" w:customStyle="1" w:styleId="CommentSubjectChar">
    <w:name w:val="Comment Subject Char"/>
    <w:basedOn w:val="CommentTextChar"/>
    <w:link w:val="CommentSubject"/>
    <w:uiPriority w:val="99"/>
    <w:semiHidden/>
    <w:rsid w:val="002D7B36"/>
    <w:rPr>
      <w:b/>
      <w:bCs/>
      <w:sz w:val="20"/>
      <w:szCs w:val="20"/>
    </w:rPr>
  </w:style>
  <w:style w:type="paragraph" w:styleId="Revision">
    <w:name w:val="Revision"/>
    <w:hidden/>
    <w:uiPriority w:val="99"/>
    <w:semiHidden/>
    <w:rsid w:val="00306729"/>
    <w:pPr>
      <w:spacing w:before="0" w:after="0"/>
    </w:pPr>
  </w:style>
  <w:style w:type="character" w:styleId="UnresolvedMention">
    <w:name w:val="Unresolved Mention"/>
    <w:basedOn w:val="DefaultParagraphFont"/>
    <w:uiPriority w:val="99"/>
    <w:semiHidden/>
    <w:unhideWhenUsed/>
    <w:rsid w:val="00703C44"/>
    <w:rPr>
      <w:color w:val="605E5C"/>
      <w:shd w:val="clear" w:color="auto" w:fill="E1DFDD"/>
    </w:rPr>
  </w:style>
  <w:style w:type="paragraph" w:customStyle="1" w:styleId="BulletsL1">
    <w:name w:val="Bullets L1"/>
    <w:basedOn w:val="ListParagraph"/>
    <w:link w:val="BulletsL1Char"/>
    <w:rsid w:val="00722770"/>
    <w:pPr>
      <w:numPr>
        <w:numId w:val="34"/>
      </w:numPr>
      <w:spacing w:after="120"/>
      <w:contextualSpacing w:val="0"/>
    </w:pPr>
    <w:rPr>
      <w:lang w:val="en-US"/>
    </w:rPr>
  </w:style>
  <w:style w:type="character" w:customStyle="1" w:styleId="BulletsL1Char">
    <w:name w:val="Bullets L1 Char"/>
    <w:basedOn w:val="DefaultParagraphFont"/>
    <w:link w:val="BulletsL1"/>
    <w:rsid w:val="00722770"/>
    <w:rPr>
      <w:rFonts w:ascii="Arial" w:hAnsi="Arial"/>
      <w:color w:val="auto"/>
      <w:lang w:val="en-US"/>
    </w:rPr>
  </w:style>
  <w:style w:type="paragraph" w:customStyle="1" w:styleId="BulletsL2">
    <w:name w:val="Bullets L2"/>
    <w:basedOn w:val="BulletsL1"/>
    <w:link w:val="BulletsL2Char"/>
    <w:rsid w:val="00722770"/>
    <w:pPr>
      <w:numPr>
        <w:numId w:val="35"/>
      </w:numPr>
    </w:pPr>
  </w:style>
  <w:style w:type="character" w:customStyle="1" w:styleId="BulletsL2Char">
    <w:name w:val="Bullets L2 Char"/>
    <w:basedOn w:val="BulletsL1Char"/>
    <w:link w:val="BulletsL2"/>
    <w:rsid w:val="00722770"/>
    <w:rPr>
      <w:rFonts w:ascii="Arial" w:hAnsi="Arial"/>
      <w:color w:val="auto"/>
      <w:lang w:val="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7919">
      <w:bodyDiv w:val="1"/>
      <w:marLeft w:val="0"/>
      <w:marRight w:val="0"/>
      <w:marTop w:val="0"/>
      <w:marBottom w:val="0"/>
      <w:divBdr>
        <w:top w:val="none" w:sz="0" w:space="0" w:color="auto"/>
        <w:left w:val="none" w:sz="0" w:space="0" w:color="auto"/>
        <w:bottom w:val="none" w:sz="0" w:space="0" w:color="auto"/>
        <w:right w:val="none" w:sz="0" w:space="0" w:color="auto"/>
      </w:divBdr>
    </w:div>
    <w:div w:id="490602876">
      <w:bodyDiv w:val="1"/>
      <w:marLeft w:val="0"/>
      <w:marRight w:val="0"/>
      <w:marTop w:val="0"/>
      <w:marBottom w:val="0"/>
      <w:divBdr>
        <w:top w:val="none" w:sz="0" w:space="0" w:color="auto"/>
        <w:left w:val="none" w:sz="0" w:space="0" w:color="auto"/>
        <w:bottom w:val="none" w:sz="0" w:space="0" w:color="auto"/>
        <w:right w:val="none" w:sz="0" w:space="0" w:color="auto"/>
      </w:divBdr>
    </w:div>
    <w:div w:id="933441527">
      <w:bodyDiv w:val="1"/>
      <w:marLeft w:val="0"/>
      <w:marRight w:val="0"/>
      <w:marTop w:val="0"/>
      <w:marBottom w:val="0"/>
      <w:divBdr>
        <w:top w:val="none" w:sz="0" w:space="0" w:color="auto"/>
        <w:left w:val="none" w:sz="0" w:space="0" w:color="auto"/>
        <w:bottom w:val="none" w:sz="0" w:space="0" w:color="auto"/>
        <w:right w:val="none" w:sz="0" w:space="0" w:color="auto"/>
      </w:divBdr>
    </w:div>
    <w:div w:id="1137070316">
      <w:bodyDiv w:val="1"/>
      <w:marLeft w:val="0"/>
      <w:marRight w:val="0"/>
      <w:marTop w:val="0"/>
      <w:marBottom w:val="0"/>
      <w:divBdr>
        <w:top w:val="none" w:sz="0" w:space="0" w:color="auto"/>
        <w:left w:val="none" w:sz="0" w:space="0" w:color="auto"/>
        <w:bottom w:val="none" w:sz="0" w:space="0" w:color="auto"/>
        <w:right w:val="none" w:sz="0" w:space="0" w:color="auto"/>
      </w:divBdr>
    </w:div>
    <w:div w:id="1167287766">
      <w:bodyDiv w:val="1"/>
      <w:marLeft w:val="0"/>
      <w:marRight w:val="0"/>
      <w:marTop w:val="0"/>
      <w:marBottom w:val="0"/>
      <w:divBdr>
        <w:top w:val="none" w:sz="0" w:space="0" w:color="auto"/>
        <w:left w:val="none" w:sz="0" w:space="0" w:color="auto"/>
        <w:bottom w:val="none" w:sz="0" w:space="0" w:color="auto"/>
        <w:right w:val="none" w:sz="0" w:space="0" w:color="auto"/>
      </w:divBdr>
    </w:div>
    <w:div w:id="17253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qsa.gov.au/guides-resources/resources/guidance-notes/guidance-note-research-and-research-train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eqsa.gov.au/guides-resources/resources/guidance-notes/guidance-note-corporate-govern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qsa.gov.au/how-we-regulate/higher-education-standards-framework-202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929e38-55be-4b09-962a-7a6393de1361">
      <Value>3</Value>
      <Value>2</Value>
      <Value>1</Value>
    </TaxCatchAll>
    <Status xmlns="292dd51f-c3e5-45fb-bb52-f0a96cb7d027">Published</Status>
    <p2841a2f4f0e46edb9ade446fe7c03eb xmlns="292dd51f-c3e5-45fb-bb52-f0a96cb7d027">
      <Terms xmlns="http://schemas.microsoft.com/office/infopath/2007/PartnerControls">
        <TermInfo xmlns="http://schemas.microsoft.com/office/infopath/2007/PartnerControls">
          <TermName xmlns="http://schemas.microsoft.com/office/infopath/2007/PartnerControls">External Relations</TermName>
          <TermId xmlns="http://schemas.microsoft.com/office/infopath/2007/PartnerControls">8003538d-cbbc-40ec-a138-45260a67bcf5</TermId>
        </TermInfo>
      </Terms>
    </p2841a2f4f0e46edb9ade446fe7c03eb>
    <lf00f7cae6154b588c712167af0e92c2 xmlns="292dd51f-c3e5-45fb-bb52-f0a96cb7d027">
      <Terms xmlns="http://schemas.microsoft.com/office/infopath/2007/PartnerControls">
        <TermInfo xmlns="http://schemas.microsoft.com/office/infopath/2007/PartnerControls">
          <TermName xmlns="http://schemas.microsoft.com/office/infopath/2007/PartnerControls">Guidance Note</TermName>
          <TermId xmlns="http://schemas.microsoft.com/office/infopath/2007/PartnerControls">ebf409d7-0b48-4543-bcde-c43c4066fc8c</TermId>
        </TermInfo>
      </Terms>
    </lf00f7cae6154b588c712167af0e92c2>
    <Category xmlns="292dd51f-c3e5-45fb-bb52-f0a96cb7d027">Guidance</Category>
    <j5c7243103eb4a8f8bdb102a5810412a xmlns="292dd51f-c3e5-45fb-bb52-f0a96cb7d027">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ea2fedc5-f041-4824-a983-f8f3eeeb6dfc</TermId>
        </TermInfo>
      </Terms>
    </j5c7243103eb4a8f8bdb102a5810412a>
    <Assignedto xmlns="292dd51f-c3e5-45fb-bb52-f0a96cb7d027">Complete</Assignedto>
    <ContextualStatus xmlns="292dd51f-c3e5-45fb-bb52-f0a96cb7d027">12. Complete</ContextualStatus>
    <_Flow_SignoffStatus xmlns="292dd51f-c3e5-45fb-bb52-f0a96cb7d027" xsi:nil="true"/>
    <DocumentDate xmlns="292dd51f-c3e5-45fb-bb52-f0a96cb7d027" xsi:nil="true"/>
    <GuidanceNote xmlns="292dd51f-c3e5-45fb-bb52-f0a96cb7d027">Academic Governance</GuidanceNote>
    <Date xmlns="292dd51f-c3e5-45fb-bb52-f0a96cb7d027">2023-06-07T14:00:00+00:00</Date>
    <Reviewed xmlns="292dd51f-c3e5-45fb-bb52-f0a96cb7d0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63AF37CA3B51428CD9C68A4D71EEA0" ma:contentTypeVersion="25" ma:contentTypeDescription="Create a new document." ma:contentTypeScope="" ma:versionID="8b1c76d89f19aebf2397a8f5c4eb1d3d">
  <xsd:schema xmlns:xsd="http://www.w3.org/2001/XMLSchema" xmlns:xs="http://www.w3.org/2001/XMLSchema" xmlns:p="http://schemas.microsoft.com/office/2006/metadata/properties" xmlns:ns2="292dd51f-c3e5-45fb-bb52-f0a96cb7d027" xmlns:ns3="83929e38-55be-4b09-962a-7a6393de1361" targetNamespace="http://schemas.microsoft.com/office/2006/metadata/properties" ma:root="true" ma:fieldsID="63efb9c4ada033e6a61dccd8f09c8365" ns2:_="" ns3:_="">
    <xsd:import namespace="292dd51f-c3e5-45fb-bb52-f0a96cb7d027"/>
    <xsd:import namespace="83929e38-55be-4b09-962a-7a6393de1361"/>
    <xsd:element name="properties">
      <xsd:complexType>
        <xsd:sequence>
          <xsd:element name="documentManagement">
            <xsd:complexType>
              <xsd:all>
                <xsd:element ref="ns2:Category" minOccurs="0"/>
                <xsd:element ref="ns2:Status" minOccurs="0"/>
                <xsd:element ref="ns2:Assignedto" minOccurs="0"/>
                <xsd:element ref="ns2:ContextualStatus" minOccurs="0"/>
                <xsd:element ref="ns2:GuidanceNote" minOccurs="0"/>
                <xsd:element ref="ns2:_Flow_SignoffStatus" minOccurs="0"/>
                <xsd:element ref="ns2:Date" minOccurs="0"/>
                <xsd:element ref="ns3:TaxCatchAll" minOccurs="0"/>
                <xsd:element ref="ns2:j5c7243103eb4a8f8bdb102a5810412a" minOccurs="0"/>
                <xsd:element ref="ns2:lf00f7cae6154b588c712167af0e92c2" minOccurs="0"/>
                <xsd:element ref="ns2:MediaServiceMetadata" minOccurs="0"/>
                <xsd:element ref="ns2:MediaServiceFastMetadata" minOccurs="0"/>
                <xsd:element ref="ns3:SharedWithUsers" minOccurs="0"/>
                <xsd:element ref="ns3:SharedWithDetails" minOccurs="0"/>
                <xsd:element ref="ns2:p2841a2f4f0e46edb9ade446fe7c03eb" minOccurs="0"/>
                <xsd:element ref="ns2:DocumentDate" minOccurs="0"/>
                <xsd:element ref="ns2:MediaServiceObjectDetectorVersions"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dd51f-c3e5-45fb-bb52-f0a96cb7d027" elementFormDefault="qualified">
    <xsd:import namespace="http://schemas.microsoft.com/office/2006/documentManagement/types"/>
    <xsd:import namespace="http://schemas.microsoft.com/office/infopath/2007/PartnerControls"/>
    <xsd:element name="Category" ma:index="3" nillable="true" ma:displayName="Category" ma:format="Dropdown" ma:internalName="Category" ma:readOnly="false">
      <xsd:simpleType>
        <xsd:restriction base="dms:Choice">
          <xsd:enumeration value="Analysis"/>
          <xsd:enumeration value="Commission Brief"/>
          <xsd:enumeration value="Commission Notes"/>
          <xsd:enumeration value="ELT Brief"/>
          <xsd:enumeration value="External Consultation"/>
          <xsd:enumeration value="External Correspondence"/>
          <xsd:enumeration value="External Resources"/>
          <xsd:enumeration value="Guidance"/>
          <xsd:enumeration value="Internal Consultation"/>
          <xsd:enumeration value="Media"/>
          <xsd:enumeration value="Meeting Notes"/>
          <xsd:enumeration value="Project plans"/>
          <xsd:enumeration value="Reports"/>
          <xsd:enumeration value="Research"/>
          <xsd:enumeration value="Webinars"/>
          <xsd:enumeration value="Presentations"/>
        </xsd:restriction>
      </xsd:simpleType>
    </xsd:element>
    <xsd:element name="Status" ma:index="4" nillable="true" ma:displayName="Status" ma:default="Draft" ma:format="Dropdown" ma:internalName="Status" ma:readOnly="false">
      <xsd:simpleType>
        <xsd:restriction base="dms:Choice">
          <xsd:enumeration value="Draft"/>
          <xsd:enumeration value="Final"/>
          <xsd:enumeration value="Published"/>
        </xsd:restriction>
      </xsd:simpleType>
    </xsd:element>
    <xsd:element name="Assignedto" ma:index="5" nillable="true" ma:displayName="Assigned to" ma:description="Officer who is assigned the task" ma:format="Dropdown" ma:internalName="Assignedto" ma:readOnly="false">
      <xsd:simpleType>
        <xsd:restriction base="dms:Choice">
          <xsd:enumeration value="Graem"/>
          <xsd:enumeration value="Rodny"/>
          <xsd:enumeration value="Ben"/>
          <xsd:enumeration value="Complete"/>
          <xsd:enumeration value="Unassigned"/>
        </xsd:restriction>
      </xsd:simpleType>
    </xsd:element>
    <xsd:element name="ContextualStatus" ma:index="6" nillable="true" ma:displayName="Contextual Status" ma:description="Additional Contextual Status" ma:format="Dropdown" ma:internalName="ContextualStatus">
      <xsd:simpleType>
        <xsd:restriction base="dms:Choice">
          <xsd:enumeration value="1. Initial Drafting"/>
          <xsd:enumeration value="2. Ready for Consultation (internal)"/>
          <xsd:enumeration value="3. Internal Consultation (waiting)"/>
          <xsd:enumeration value="4. Internally Consulted"/>
          <xsd:enumeration value="5. Ready for Commission 1st review"/>
          <xsd:enumeration value="6. Commission first review"/>
          <xsd:enumeration value="7. Incorp First Commission Feedback"/>
          <xsd:enumeration value="8. Ready for Consultation (external)"/>
          <xsd:enumeration value="9. External Consultation (waiting)"/>
          <xsd:enumeration value="10. Externally Consulted"/>
          <xsd:enumeration value="11. Commission final review"/>
          <xsd:enumeration value="12. Complete"/>
          <xsd:enumeration value="13. Ready for publication"/>
          <xsd:enumeration value="Old / Superseded"/>
        </xsd:restriction>
      </xsd:simpleType>
    </xsd:element>
    <xsd:element name="GuidanceNote" ma:index="7" nillable="true" ma:displayName="Guidance Note" ma:description="The Guidance Note the document relates to." ma:format="Dropdown" ma:internalName="GuidanceNote">
      <xsd:simpleType>
        <xsd:restriction base="dms:Choice">
          <xsd:enumeration value="Definition - Active in Research"/>
          <xsd:enumeration value="Corporate Monitoring and Accountability"/>
          <xsd:enumeration value="Corporate Governance"/>
          <xsd:enumeration value="Course Approval and Accreditation"/>
          <xsd:enumeration value="Information Management"/>
          <xsd:enumeration value="Orientation and progression"/>
          <xsd:enumeration value="Qualifications and certification"/>
          <xsd:enumeration value="Student Grievances and Complaints"/>
          <xsd:enumeration value="Academic Governance"/>
          <xsd:enumeration value="Student Wellbeing and Safety"/>
          <xsd:enumeration value="Diversity and Equity"/>
          <xsd:enumeration value="Facilities and infrastructure"/>
          <xsd:enumeration value="Monitoring, Review and Improvement"/>
          <xsd:enumeration value="Representation"/>
          <xsd:enumeration value="Delivery with other parties"/>
          <xsd:enumeration value="Research Requirements for Aus Universities"/>
          <xsd:enumeration value="Research and Research Training"/>
          <xsd:enumeration value="Academic Governance"/>
          <xsd:enumeration value="Choice 19"/>
        </xsd:restriction>
      </xsd:simpleType>
    </xsd:element>
    <xsd:element name="_Flow_SignoffStatus" ma:index="8" nillable="true" ma:displayName="Sign-off status" ma:internalName="Sign_x002d_off_x0020_status" ma:readOnly="false">
      <xsd:simpleType>
        <xsd:restriction base="dms:Text"/>
      </xsd:simpleType>
    </xsd:element>
    <xsd:element name="Date" ma:index="9" nillable="true" ma:displayName="Date" ma:default="[today]" ma:format="DateOnly" ma:internalName="Date" ma:readOnly="false">
      <xsd:simpleType>
        <xsd:restriction base="dms:DateTime"/>
      </xsd:simpleType>
    </xsd:element>
    <xsd:element name="j5c7243103eb4a8f8bdb102a5810412a" ma:index="12" nillable="true" ma:taxonomy="true" ma:internalName="j5c7243103eb4a8f8bdb102a5810412a" ma:taxonomyFieldName="Activity_x0020_Name" ma:displayName="Activity Name" ma:readOnly="false" ma:default="2;#Projects|ea2fedc5-f041-4824-a983-f8f3eeeb6dfc" ma:fieldId="{35c72431-03eb-4a8f-8bdb-102a5810412a}" ma:sspId="645f8d4e-8f3a-4e65-808f-0c8f2d6bd45a" ma:termSetId="6d61d290-63e6-4191-96d4-bb0f69ce25d9" ma:anchorId="00000000-0000-0000-0000-000000000000" ma:open="false" ma:isKeyword="false">
      <xsd:complexType>
        <xsd:sequence>
          <xsd:element ref="pc:Terms" minOccurs="0" maxOccurs="1"/>
        </xsd:sequence>
      </xsd:complexType>
    </xsd:element>
    <xsd:element name="lf00f7cae6154b588c712167af0e92c2" ma:index="14" nillable="true" ma:taxonomy="true" ma:internalName="lf00f7cae6154b588c712167af0e92c2" ma:taxonomyFieldName="RecordType" ma:displayName="Record Type" ma:readOnly="false" ma:default="" ma:fieldId="{5f00f7ca-e615-4b58-8c71-2167af0e92c2}" ma:sspId="645f8d4e-8f3a-4e65-808f-0c8f2d6bd45a" ma:termSetId="fd0a169c-3a83-48a6-911e-955acb039007"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p2841a2f4f0e46edb9ade446fe7c03eb" ma:index="24" nillable="true" ma:taxonomy="true" ma:internalName="p2841a2f4f0e46edb9ade446fe7c03eb" ma:taxonomyFieldName="Function_x0020_Name" ma:displayName="Function Name" ma:readOnly="false" ma:default="1;#External Relations|8003538d-cbbc-40ec-a138-45260a67bcf5" ma:fieldId="{92841a2f-4f0e-46ed-b9ad-e446fe7c03eb}" ma:sspId="645f8d4e-8f3a-4e65-808f-0c8f2d6bd45a" ma:termSetId="caff1483-53ad-486d-964e-a8d5fb9ee176" ma:anchorId="00000000-0000-0000-0000-000000000000" ma:open="false" ma:isKeyword="false">
      <xsd:complexType>
        <xsd:sequence>
          <xsd:element ref="pc:Terms" minOccurs="0" maxOccurs="1"/>
        </xsd:sequence>
      </xsd:complexType>
    </xsd:element>
    <xsd:element name="DocumentDate" ma:index="26" nillable="true" ma:displayName="Project End Date" ma:format="DateOnly" ma:hidden="true" ma:internalName="DocumentDate" ma:readOnly="false">
      <xsd:simpleType>
        <xsd:restriction base="dms:DateTim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Reviewed" ma:index="28" nillable="true" ma:displayName="Reviewed" ma:format="Dropdown" ma:internalName="Reviewed">
      <xsd:simpleType>
        <xsd:restriction base="dms:Choice">
          <xsd:enumeration value="Reviewed "/>
          <xsd:enumeration value="Choice 2"/>
        </xsd:restriction>
      </xsd:simpleType>
    </xsd:element>
  </xsd:schema>
  <xsd:schema xmlns:xsd="http://www.w3.org/2001/XMLSchema" xmlns:xs="http://www.w3.org/2001/XMLSchema" xmlns:dms="http://schemas.microsoft.com/office/2006/documentManagement/types" xmlns:pc="http://schemas.microsoft.com/office/infopath/2007/PartnerControls" targetNamespace="83929e38-55be-4b09-962a-7a6393de1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c4db1e4-8662-4c89-b91e-70a7b413135f}" ma:internalName="TaxCatchAll" ma:readOnly="false" ma:showField="CatchAllData" ma:web="83929e38-55be-4b09-962a-7a6393de13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E1C12-8773-409A-B29D-4FC4E6BF5F01}">
  <ds:schemaRefs>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83929e38-55be-4b09-962a-7a6393de1361"/>
    <ds:schemaRef ds:uri="http://schemas.openxmlformats.org/package/2006/metadata/core-properties"/>
    <ds:schemaRef ds:uri="292dd51f-c3e5-45fb-bb52-f0a96cb7d027"/>
    <ds:schemaRef ds:uri="http://www.w3.org/XML/1998/namespace"/>
    <ds:schemaRef ds:uri="http://purl.org/dc/dcmitype/"/>
  </ds:schemaRefs>
</ds:datastoreItem>
</file>

<file path=customXml/itemProps2.xml><?xml version="1.0" encoding="utf-8"?>
<ds:datastoreItem xmlns:ds="http://schemas.openxmlformats.org/officeDocument/2006/customXml" ds:itemID="{255999BD-B55E-4F73-B3E4-6DAB409B5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dd51f-c3e5-45fb-bb52-f0a96cb7d027"/>
    <ds:schemaRef ds:uri="83929e38-55be-4b09-962a-7a6393de1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4.xml><?xml version="1.0" encoding="utf-8"?>
<ds:datastoreItem xmlns:ds="http://schemas.openxmlformats.org/officeDocument/2006/customXml" ds:itemID="{935653C1-3618-4C62-990C-2E66767D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1561</Words>
  <Characters>9978</Characters>
  <Application>Microsoft Office Word</Application>
  <DocSecurity>0</DocSecurity>
  <Lines>216</Lines>
  <Paragraphs>121</Paragraphs>
  <ScaleCrop>false</ScaleCrop>
  <HeadingPairs>
    <vt:vector size="2" baseType="variant">
      <vt:variant>
        <vt:lpstr>Title</vt:lpstr>
      </vt:variant>
      <vt:variant>
        <vt:i4>1</vt:i4>
      </vt:variant>
    </vt:vector>
  </HeadingPairs>
  <TitlesOfParts>
    <vt:vector size="1" baseType="lpstr">
      <vt:lpstr>Guidance Note: Academic Governance</vt:lpstr>
    </vt:vector>
  </TitlesOfParts>
  <Company>Tertiary Education Quality and Standards Agency</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Academic Governance</dc:title>
  <dc:subject/>
  <dc:creator/>
  <cp:keywords>[SEC=OFFICIAL]</cp:keywords>
  <cp:lastModifiedBy>Tom Hewitt-McManus</cp:lastModifiedBy>
  <cp:revision>7</cp:revision>
  <cp:lastPrinted>2023-03-29T16:46:00Z</cp:lastPrinted>
  <dcterms:created xsi:type="dcterms:W3CDTF">2023-11-30T03:29:00Z</dcterms:created>
  <dcterms:modified xsi:type="dcterms:W3CDTF">2023-11-30T03:44:00Z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0x0101007D63AF37CA3B51428CD9C68A4D71EEA0</vt:lpwstr>
  </property>
  <property fmtid="{D5CDD505-2E9C-101B-9397-08002B2CF9AE}" pid="3" name="Team">
    <vt:lpwstr>45;#Comms and International|f1db5572-7306-443e-a442-d56c9f2c52d1</vt:lpwstr>
  </property>
  <property fmtid="{D5CDD505-2E9C-101B-9397-08002B2CF9AE}" pid="4" name="RecordType">
    <vt:lpwstr>3;#Guidance Note|ebf409d7-0b48-4543-bcde-c43c4066fc8c</vt:lpwstr>
  </property>
  <property fmtid="{D5CDD505-2E9C-101B-9397-08002B2CF9AE}" pid="5" name="Activity Name">
    <vt:lpwstr>2;#Projects|ea2fedc5-f041-4824-a983-f8f3eeeb6dfc</vt:lpwstr>
  </property>
  <property fmtid="{D5CDD505-2E9C-101B-9397-08002B2CF9AE}" pid="6" name="Function Name">
    <vt:lpwstr>1;#External Relations|8003538d-cbbc-40ec-a138-45260a67bcf5</vt:lpwstr>
  </property>
  <property fmtid="{D5CDD505-2E9C-101B-9397-08002B2CF9AE}" pid="7" name="_ExtendedDescription">
    <vt:lpwstr/>
  </property>
  <property fmtid="{D5CDD505-2E9C-101B-9397-08002B2CF9AE}" pid="8" name="PM_Namespace">
    <vt:lpwstr>gov.au</vt:lpwstr>
  </property>
  <property fmtid="{D5CDD505-2E9C-101B-9397-08002B2CF9AE}" pid="9" name="PM_Caveats_Count">
    <vt:lpwstr>0</vt:lpwstr>
  </property>
  <property fmtid="{D5CDD505-2E9C-101B-9397-08002B2CF9AE}" pid="10" name="PM_Version">
    <vt:lpwstr>2018.4</vt:lpwstr>
  </property>
  <property fmtid="{D5CDD505-2E9C-101B-9397-08002B2CF9AE}" pid="11" name="PM_Note">
    <vt:lpwstr/>
  </property>
  <property fmtid="{D5CDD505-2E9C-101B-9397-08002B2CF9AE}" pid="12" name="PMHMAC">
    <vt:lpwstr>v=2022.1;a=SHA256;h=26A7AD897165D769D1E56DB4469F6FDC65EAF9DF90E40ECCDC48DD0504F722B2</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OriginationTimeStamp">
    <vt:lpwstr>2023-05-25T01:23:21Z</vt:lpwstr>
  </property>
  <property fmtid="{D5CDD505-2E9C-101B-9397-08002B2CF9AE}" pid="17" name="PM_Markers">
    <vt:lpwstr/>
  </property>
  <property fmtid="{D5CDD505-2E9C-101B-9397-08002B2CF9AE}" pid="18" name="PM_InsertionValue">
    <vt:lpwstr>OFFICIAL</vt:lpwstr>
  </property>
  <property fmtid="{D5CDD505-2E9C-101B-9397-08002B2CF9AE}" pid="19" name="PM_Originator_Hash_SHA1">
    <vt:lpwstr>1756B66A1003FAB3E68A6DD403B40826ACBAA18B</vt:lpwstr>
  </property>
  <property fmtid="{D5CDD505-2E9C-101B-9397-08002B2CF9AE}" pid="20" name="PM_DisplayValueSecClassificationWithQualifier">
    <vt:lpwstr>OFFICIAL</vt:lpwstr>
  </property>
  <property fmtid="{D5CDD505-2E9C-101B-9397-08002B2CF9AE}" pid="21" name="PM_Originating_FileId">
    <vt:lpwstr>8FD9343357F8439EBDC8EEB01F10E3AB</vt:lpwstr>
  </property>
  <property fmtid="{D5CDD505-2E9C-101B-9397-08002B2CF9AE}" pid="22" name="PM_ProtectiveMarkingValue_Footer">
    <vt:lpwstr>OFFICIAL</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E56051784F8727F844CEEE886A315EA44C959D257A4327A54278BD71F9D80545</vt:lpwstr>
  </property>
  <property fmtid="{D5CDD505-2E9C-101B-9397-08002B2CF9AE}" pid="27" name="PM_OriginatorDomainName_SHA256">
    <vt:lpwstr>0C3D4C92EC8F38444BA78741E5B5836F9817C3740155E164E6696E5C1131B3E3</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42C4C5E9CA27F1053C6D2E08DC4833C1</vt:lpwstr>
  </property>
  <property fmtid="{D5CDD505-2E9C-101B-9397-08002B2CF9AE}" pid="31" name="PM_Hash_Salt">
    <vt:lpwstr>26B1025233992F253159952BC06742D1</vt:lpwstr>
  </property>
  <property fmtid="{D5CDD505-2E9C-101B-9397-08002B2CF9AE}" pid="32" name="PM_Hash_SHA1">
    <vt:lpwstr>AA2CC8796CE8B7255EA9EB870A28BD9C79E63A17</vt:lpwstr>
  </property>
  <property fmtid="{D5CDD505-2E9C-101B-9397-08002B2CF9AE}" pid="33" name="PM_SecurityClassification_Prev">
    <vt:lpwstr>OFFICIAL</vt:lpwstr>
  </property>
  <property fmtid="{D5CDD505-2E9C-101B-9397-08002B2CF9AE}" pid="34" name="PM_Qualifier_Prev">
    <vt:lpwstr/>
  </property>
</Properties>
</file>