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6590" w14:textId="07D79675" w:rsidR="007A171D" w:rsidRPr="007F78F7" w:rsidRDefault="00366F20" w:rsidP="007F78F7">
      <w:pPr>
        <w:pStyle w:val="Heading2"/>
      </w:pPr>
      <w:r w:rsidRPr="00366F20">
        <w:t xml:space="preserve">Naming </w:t>
      </w:r>
      <w:r w:rsidR="003332C8">
        <w:t>c</w:t>
      </w:r>
      <w:r w:rsidRPr="00366F20">
        <w:t xml:space="preserve">onventions for </w:t>
      </w:r>
      <w:r w:rsidR="003332C8">
        <w:t>e</w:t>
      </w:r>
      <w:r w:rsidRPr="00366F20">
        <w:t>vidence</w:t>
      </w:r>
      <w:r w:rsidR="003332C8">
        <w:t xml:space="preserve"> </w:t>
      </w:r>
      <w:r w:rsidR="003332C8" w:rsidRPr="003332C8">
        <w:t>–</w:t>
      </w:r>
      <w:r w:rsidR="003332C8">
        <w:t xml:space="preserve"> guide</w:t>
      </w:r>
    </w:p>
    <w:p w14:paraId="417A3B2D" w14:textId="77777777" w:rsidR="006C328D" w:rsidRPr="007F78F7" w:rsidRDefault="00366F20" w:rsidP="007F78F7">
      <w:pPr>
        <w:pStyle w:val="Heading3"/>
      </w:pPr>
      <w:r w:rsidRPr="00366F20">
        <w:t>Purpose</w:t>
      </w:r>
    </w:p>
    <w:p w14:paraId="093CFC8D" w14:textId="77777777" w:rsidR="00366F20" w:rsidRDefault="00366F20" w:rsidP="00366F20">
      <w:r>
        <w:t>This guidance note outlines the requirements for providing documentary evidence to TEQSA in support of applications, with respect to:</w:t>
      </w:r>
    </w:p>
    <w:p w14:paraId="03B1607A" w14:textId="77777777" w:rsidR="00366F20" w:rsidRDefault="00366F20" w:rsidP="00366F20">
      <w:pPr>
        <w:pStyle w:val="Bullet1"/>
      </w:pPr>
      <w:r>
        <w:t>how to name files</w:t>
      </w:r>
    </w:p>
    <w:p w14:paraId="46CEE516" w14:textId="77777777" w:rsidR="007B01C8" w:rsidRDefault="00366F20" w:rsidP="00366F20">
      <w:pPr>
        <w:pStyle w:val="Bullet1"/>
      </w:pPr>
      <w:r>
        <w:t>specifications for formatting.</w:t>
      </w:r>
    </w:p>
    <w:p w14:paraId="0A3762C0" w14:textId="77777777" w:rsidR="00366F20" w:rsidRPr="008C5622" w:rsidRDefault="00366F20" w:rsidP="00366F20">
      <w:pPr>
        <w:pStyle w:val="Heading2"/>
      </w:pPr>
      <w:r w:rsidRPr="00D66C56">
        <w:t>Scope</w:t>
      </w:r>
    </w:p>
    <w:p w14:paraId="09D4067E" w14:textId="77777777" w:rsidR="00366F20" w:rsidRDefault="00366F20" w:rsidP="00366F20">
      <w:r>
        <w:t>This guidance note applies to files provided via the provider portal, or as requested, for:</w:t>
      </w:r>
    </w:p>
    <w:p w14:paraId="2609BFBB" w14:textId="77777777" w:rsidR="00366F20" w:rsidRPr="008C5622" w:rsidRDefault="00366F20" w:rsidP="00366F20">
      <w:pPr>
        <w:pStyle w:val="Bullet1"/>
        <w:rPr>
          <w:rFonts w:cs="Arial"/>
        </w:rPr>
      </w:pPr>
      <w:r>
        <w:rPr>
          <w:rFonts w:cs="Arial"/>
        </w:rPr>
        <w:t>applications (for TEQSA and CRICOS)</w:t>
      </w:r>
    </w:p>
    <w:p w14:paraId="5F0D2600" w14:textId="77777777" w:rsidR="00366F20" w:rsidRPr="008C5622" w:rsidRDefault="00366F20" w:rsidP="00366F20">
      <w:pPr>
        <w:pStyle w:val="Bullet1"/>
        <w:rPr>
          <w:rFonts w:cs="Arial"/>
        </w:rPr>
      </w:pPr>
      <w:r>
        <w:rPr>
          <w:rFonts w:cs="Arial"/>
        </w:rPr>
        <w:t>r</w:t>
      </w:r>
      <w:r w:rsidRPr="008C5622">
        <w:rPr>
          <w:rFonts w:cs="Arial"/>
        </w:rPr>
        <w:t xml:space="preserve">esponses to </w:t>
      </w:r>
      <w:r>
        <w:rPr>
          <w:rFonts w:cs="Arial"/>
        </w:rPr>
        <w:t>r</w:t>
      </w:r>
      <w:r w:rsidRPr="008C5622">
        <w:rPr>
          <w:rFonts w:cs="Arial"/>
        </w:rPr>
        <w:t xml:space="preserve">equests </w:t>
      </w:r>
      <w:r>
        <w:rPr>
          <w:rFonts w:cs="Arial"/>
        </w:rPr>
        <w:t>f</w:t>
      </w:r>
      <w:r w:rsidRPr="008C5622">
        <w:rPr>
          <w:rFonts w:cs="Arial"/>
        </w:rPr>
        <w:t xml:space="preserve">or </w:t>
      </w:r>
      <w:r>
        <w:rPr>
          <w:rFonts w:cs="Arial"/>
        </w:rPr>
        <w:t>i</w:t>
      </w:r>
      <w:r w:rsidRPr="008C5622">
        <w:rPr>
          <w:rFonts w:cs="Arial"/>
        </w:rPr>
        <w:t>nformation</w:t>
      </w:r>
    </w:p>
    <w:p w14:paraId="1677A944" w14:textId="77777777" w:rsidR="00366F20" w:rsidRDefault="00366F20" w:rsidP="00366F20">
      <w:pPr>
        <w:pStyle w:val="Bullet1"/>
        <w:rPr>
          <w:rFonts w:cs="Arial"/>
        </w:rPr>
      </w:pPr>
      <w:r w:rsidRPr="00366F20">
        <w:t>responses</w:t>
      </w:r>
      <w:r w:rsidRPr="008C5622">
        <w:rPr>
          <w:rFonts w:cs="Arial"/>
        </w:rPr>
        <w:t xml:space="preserve"> to </w:t>
      </w:r>
      <w:r>
        <w:rPr>
          <w:rFonts w:cs="Arial"/>
        </w:rPr>
        <w:t xml:space="preserve">section 28 requests under the TEQSA </w:t>
      </w:r>
      <w:r w:rsidRPr="00E70490">
        <w:rPr>
          <w:rFonts w:cs="Arial"/>
        </w:rPr>
        <w:t>Act</w:t>
      </w:r>
    </w:p>
    <w:p w14:paraId="07A55253" w14:textId="77777777" w:rsidR="00366F20" w:rsidRPr="008C5622" w:rsidRDefault="00366F20" w:rsidP="00366F20">
      <w:pPr>
        <w:pStyle w:val="Bullet1"/>
        <w:rPr>
          <w:rFonts w:cs="Arial"/>
        </w:rPr>
      </w:pPr>
      <w:r w:rsidRPr="00366F20">
        <w:t>conditions</w:t>
      </w:r>
      <w:r w:rsidRPr="008C5622">
        <w:rPr>
          <w:rFonts w:cs="Arial"/>
        </w:rPr>
        <w:t xml:space="preserve"> </w:t>
      </w:r>
      <w:r>
        <w:rPr>
          <w:rFonts w:cs="Arial"/>
        </w:rPr>
        <w:t>i</w:t>
      </w:r>
      <w:r w:rsidRPr="008C5622">
        <w:rPr>
          <w:rFonts w:cs="Arial"/>
        </w:rPr>
        <w:t xml:space="preserve">mposed on </w:t>
      </w:r>
      <w:r>
        <w:rPr>
          <w:rFonts w:cs="Arial"/>
        </w:rPr>
        <w:t>r</w:t>
      </w:r>
      <w:r w:rsidRPr="008C5622">
        <w:rPr>
          <w:rFonts w:cs="Arial"/>
        </w:rPr>
        <w:t xml:space="preserve">egistration or </w:t>
      </w:r>
      <w:r>
        <w:rPr>
          <w:rFonts w:cs="Arial"/>
        </w:rPr>
        <w:t>c</w:t>
      </w:r>
      <w:r w:rsidRPr="008C5622">
        <w:rPr>
          <w:rFonts w:cs="Arial"/>
        </w:rPr>
        <w:t xml:space="preserve">ourse </w:t>
      </w:r>
      <w:r>
        <w:rPr>
          <w:rFonts w:cs="Arial"/>
        </w:rPr>
        <w:t>a</w:t>
      </w:r>
      <w:r w:rsidRPr="008C5622">
        <w:rPr>
          <w:rFonts w:cs="Arial"/>
        </w:rPr>
        <w:t>ccreditation</w:t>
      </w:r>
      <w:r>
        <w:rPr>
          <w:rFonts w:cs="Arial"/>
        </w:rPr>
        <w:t>.</w:t>
      </w:r>
    </w:p>
    <w:p w14:paraId="6C53EB9A" w14:textId="77777777" w:rsidR="00366F20" w:rsidRPr="008C5622" w:rsidRDefault="00366F20" w:rsidP="00366F20">
      <w:pPr>
        <w:pStyle w:val="Heading2"/>
      </w:pPr>
      <w:r>
        <w:t>File</w:t>
      </w:r>
      <w:r w:rsidRPr="00D66C56">
        <w:t xml:space="preserve"> </w:t>
      </w:r>
      <w:r>
        <w:t>i</w:t>
      </w:r>
      <w:r w:rsidRPr="00D66C56">
        <w:t>dentification</w:t>
      </w:r>
    </w:p>
    <w:p w14:paraId="6A826EA6" w14:textId="77777777" w:rsidR="00366F20" w:rsidRDefault="00366F20" w:rsidP="00366F20">
      <w:r>
        <w:t>Submitted electronic files should be:</w:t>
      </w:r>
    </w:p>
    <w:p w14:paraId="28DBD250" w14:textId="77777777" w:rsidR="00366F20" w:rsidRDefault="00366F20" w:rsidP="00366F20">
      <w:pPr>
        <w:pStyle w:val="Bullet1"/>
        <w:rPr>
          <w:rFonts w:cs="Arial"/>
        </w:rPr>
      </w:pPr>
      <w:r w:rsidRPr="00E70490">
        <w:rPr>
          <w:rFonts w:cs="Arial"/>
          <w:b/>
        </w:rPr>
        <w:t>clearly titled</w:t>
      </w:r>
      <w:r>
        <w:rPr>
          <w:rFonts w:cs="Arial"/>
        </w:rPr>
        <w:t>:</w:t>
      </w:r>
      <w:r w:rsidRPr="008C5622">
        <w:rPr>
          <w:rFonts w:cs="Arial"/>
        </w:rPr>
        <w:t xml:space="preserve"> whatever </w:t>
      </w:r>
      <w:r>
        <w:rPr>
          <w:rFonts w:cs="Arial"/>
        </w:rPr>
        <w:t>file</w:t>
      </w:r>
      <w:r w:rsidRPr="008C5622">
        <w:rPr>
          <w:rFonts w:cs="Arial"/>
        </w:rPr>
        <w:t xml:space="preserve"> naming conventions you use, </w:t>
      </w:r>
      <w:r>
        <w:rPr>
          <w:rFonts w:cs="Arial"/>
        </w:rPr>
        <w:t>file</w:t>
      </w:r>
      <w:r w:rsidRPr="008C5622">
        <w:rPr>
          <w:rFonts w:cs="Arial"/>
        </w:rPr>
        <w:t xml:space="preserve"> titles should provide, in as few characters as possible, enough information to determine what the </w:t>
      </w:r>
      <w:r>
        <w:rPr>
          <w:rFonts w:cs="Arial"/>
        </w:rPr>
        <w:t>file</w:t>
      </w:r>
      <w:r w:rsidRPr="008C5622">
        <w:rPr>
          <w:rFonts w:cs="Arial"/>
        </w:rPr>
        <w:t xml:space="preserve"> is so TEQSA can easily identify, </w:t>
      </w:r>
      <w:proofErr w:type="gramStart"/>
      <w:r w:rsidRPr="008C5622">
        <w:rPr>
          <w:rFonts w:cs="Arial"/>
        </w:rPr>
        <w:t>locate</w:t>
      </w:r>
      <w:proofErr w:type="gramEnd"/>
      <w:r w:rsidRPr="008C5622">
        <w:rPr>
          <w:rFonts w:cs="Arial"/>
        </w:rPr>
        <w:t xml:space="preserve"> and reference it</w:t>
      </w:r>
      <w:r>
        <w:rPr>
          <w:rFonts w:cs="Arial"/>
        </w:rPr>
        <w:t xml:space="preserve">, </w:t>
      </w:r>
      <w:r w:rsidRPr="008C5622">
        <w:rPr>
          <w:rFonts w:cs="Arial"/>
        </w:rPr>
        <w:t>for example:</w:t>
      </w:r>
      <w:r>
        <w:rPr>
          <w:rFonts w:cs="Arial"/>
        </w:rPr>
        <w:t xml:space="preserve"> </w:t>
      </w:r>
    </w:p>
    <w:p w14:paraId="14201225" w14:textId="77777777" w:rsidR="00366F20" w:rsidRPr="008C5622" w:rsidRDefault="00366F20" w:rsidP="00366F20">
      <w:pPr>
        <w:pStyle w:val="ListParagraph"/>
        <w:numPr>
          <w:ilvl w:val="0"/>
          <w:numId w:val="14"/>
        </w:numPr>
        <w:contextualSpacing w:val="0"/>
        <w:rPr>
          <w:rFonts w:cs="Arial"/>
        </w:rPr>
      </w:pPr>
      <w:r>
        <w:rPr>
          <w:rFonts w:cs="Arial"/>
        </w:rPr>
        <w:t>‘</w:t>
      </w:r>
      <w:r w:rsidRPr="008C5622">
        <w:rPr>
          <w:rFonts w:cs="Arial"/>
        </w:rPr>
        <w:t>CourseEnrolments01</w:t>
      </w:r>
      <w:r>
        <w:rPr>
          <w:rFonts w:cs="Arial"/>
        </w:rPr>
        <w:t>’</w:t>
      </w:r>
      <w:r w:rsidRPr="008C5622">
        <w:rPr>
          <w:rFonts w:cs="Arial"/>
        </w:rPr>
        <w:t xml:space="preserve"> instead of </w:t>
      </w:r>
      <w:r>
        <w:rPr>
          <w:rFonts w:cs="Arial"/>
        </w:rPr>
        <w:t>‘</w:t>
      </w:r>
      <w:r w:rsidRPr="008C5622">
        <w:rPr>
          <w:rFonts w:cs="Arial"/>
        </w:rPr>
        <w:t>CE01</w:t>
      </w:r>
      <w:r>
        <w:rPr>
          <w:rFonts w:cs="Arial"/>
        </w:rPr>
        <w:t>’</w:t>
      </w:r>
    </w:p>
    <w:p w14:paraId="2D64C912" w14:textId="77777777" w:rsidR="00366F20" w:rsidRPr="008C5622" w:rsidRDefault="00366F20" w:rsidP="00366F20">
      <w:pPr>
        <w:pStyle w:val="ListParagraph"/>
        <w:numPr>
          <w:ilvl w:val="0"/>
          <w:numId w:val="14"/>
        </w:numPr>
        <w:contextualSpacing w:val="0"/>
        <w:rPr>
          <w:rFonts w:cs="Arial"/>
        </w:rPr>
      </w:pPr>
      <w:r>
        <w:rPr>
          <w:rFonts w:cs="Arial"/>
        </w:rPr>
        <w:t>‘</w:t>
      </w:r>
      <w:r w:rsidRPr="008C5622">
        <w:rPr>
          <w:rFonts w:cs="Arial"/>
        </w:rPr>
        <w:t>AB Minutes January 2016</w:t>
      </w:r>
      <w:r>
        <w:rPr>
          <w:rFonts w:cs="Arial"/>
        </w:rPr>
        <w:t>’</w:t>
      </w:r>
      <w:r w:rsidRPr="008C5622">
        <w:rPr>
          <w:rFonts w:cs="Arial"/>
        </w:rPr>
        <w:t xml:space="preserve"> instead of </w:t>
      </w:r>
      <w:r>
        <w:rPr>
          <w:rFonts w:cs="Arial"/>
        </w:rPr>
        <w:t>‘</w:t>
      </w:r>
      <w:r w:rsidRPr="008C5622">
        <w:rPr>
          <w:rFonts w:cs="Arial"/>
        </w:rPr>
        <w:t>Meeting0116</w:t>
      </w:r>
      <w:r>
        <w:rPr>
          <w:rFonts w:cs="Arial"/>
        </w:rPr>
        <w:t>’</w:t>
      </w:r>
      <w:r w:rsidRPr="00E70490">
        <w:rPr>
          <w:rFonts w:cs="Arial"/>
        </w:rPr>
        <w:t>, and</w:t>
      </w:r>
    </w:p>
    <w:p w14:paraId="0E8270CA" w14:textId="77777777" w:rsidR="00366F20" w:rsidRPr="00B71881" w:rsidRDefault="00366F20" w:rsidP="00366F20">
      <w:pPr>
        <w:pStyle w:val="Bullet1"/>
      </w:pPr>
      <w:r w:rsidRPr="00E70490">
        <w:rPr>
          <w:rFonts w:cs="Arial"/>
          <w:b/>
        </w:rPr>
        <w:t>clearly referenced</w:t>
      </w:r>
      <w:r>
        <w:rPr>
          <w:rFonts w:cs="Arial"/>
        </w:rPr>
        <w:t>:</w:t>
      </w:r>
      <w:r w:rsidRPr="008C5622">
        <w:rPr>
          <w:rFonts w:cs="Arial"/>
        </w:rPr>
        <w:t xml:space="preserve"> </w:t>
      </w:r>
      <w:r>
        <w:rPr>
          <w:rFonts w:cs="Arial"/>
        </w:rPr>
        <w:t>f</w:t>
      </w:r>
      <w:r w:rsidRPr="008C5622">
        <w:rPr>
          <w:rFonts w:cs="Arial"/>
        </w:rPr>
        <w:t>or evidence submitted to support an application, or if your application cross</w:t>
      </w:r>
      <w:r>
        <w:rPr>
          <w:rFonts w:cs="Arial"/>
        </w:rPr>
        <w:t>-</w:t>
      </w:r>
      <w:r w:rsidRPr="008C5622">
        <w:rPr>
          <w:rFonts w:cs="Arial"/>
        </w:rPr>
        <w:t xml:space="preserve">references a </w:t>
      </w:r>
      <w:r>
        <w:rPr>
          <w:rFonts w:cs="Arial"/>
        </w:rPr>
        <w:t>file,</w:t>
      </w:r>
      <w:r w:rsidRPr="008C5622">
        <w:rPr>
          <w:rFonts w:cs="Arial"/>
        </w:rPr>
        <w:t xml:space="preserve"> please ensure you cite its title accurately or provide enough information to clearly identify it. </w:t>
      </w:r>
    </w:p>
    <w:p w14:paraId="3D2DA02B" w14:textId="77777777" w:rsidR="00366F20" w:rsidRPr="00044E55" w:rsidRDefault="00366F20" w:rsidP="00366F20">
      <w:pPr>
        <w:pStyle w:val="ListParagraph"/>
        <w:ind w:left="787"/>
        <w:contextualSpacing w:val="0"/>
      </w:pPr>
      <w:r w:rsidRPr="008C5622">
        <w:rPr>
          <w:rFonts w:cs="Arial"/>
        </w:rPr>
        <w:t xml:space="preserve">Note that the evidence should be clearly referenced in the </w:t>
      </w:r>
      <w:r w:rsidRPr="00E70490">
        <w:rPr>
          <w:rFonts w:cs="Arial"/>
        </w:rPr>
        <w:t>Confirmed Evidence Table</w:t>
      </w:r>
      <w:r w:rsidRPr="008C5622">
        <w:rPr>
          <w:rFonts w:cs="Arial"/>
        </w:rPr>
        <w:t>, in response to the pre</w:t>
      </w:r>
      <w:r>
        <w:rPr>
          <w:rFonts w:cs="Arial"/>
        </w:rPr>
        <w:t>-</w:t>
      </w:r>
      <w:r w:rsidRPr="008C5622">
        <w:rPr>
          <w:rFonts w:cs="Arial"/>
        </w:rPr>
        <w:t>submission discussion and agreement on scope and/or evidence requirements with your case manager.</w:t>
      </w:r>
    </w:p>
    <w:p w14:paraId="1A666099" w14:textId="77777777" w:rsidR="00366F20" w:rsidRDefault="00366F20" w:rsidP="00366F20">
      <w:pPr>
        <w:pStyle w:val="Heading2"/>
      </w:pPr>
    </w:p>
    <w:p w14:paraId="6494924A" w14:textId="77777777" w:rsidR="00366F20" w:rsidRPr="008C5622" w:rsidRDefault="00366F20" w:rsidP="00366F20">
      <w:pPr>
        <w:pStyle w:val="Heading2"/>
      </w:pPr>
      <w:r>
        <w:t>Format specifications</w:t>
      </w:r>
    </w:p>
    <w:p w14:paraId="32BD1061" w14:textId="77777777" w:rsidR="00366F20" w:rsidRDefault="00366F20" w:rsidP="00366F20">
      <w:r w:rsidRPr="00E70490">
        <w:t>The preferred formats for file submission are Microsoft Word (doc/docx), Microsoft Excel (</w:t>
      </w:r>
      <w:proofErr w:type="spellStart"/>
      <w:r w:rsidRPr="00E70490">
        <w:t>xls</w:t>
      </w:r>
      <w:proofErr w:type="spellEnd"/>
      <w:r w:rsidRPr="00E70490">
        <w:t>/xlsx) and PDF. However, TEQSA also accepts the following file formats</w:t>
      </w:r>
      <w:r>
        <w:t>: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472"/>
        <w:gridCol w:w="1476"/>
        <w:gridCol w:w="1538"/>
        <w:gridCol w:w="1146"/>
      </w:tblGrid>
      <w:tr w:rsidR="00366F20" w:rsidRPr="00EB7B24" w14:paraId="0F020C5D" w14:textId="77777777" w:rsidTr="00BE612A">
        <w:tc>
          <w:tcPr>
            <w:tcW w:w="1590" w:type="dxa"/>
          </w:tcPr>
          <w:p w14:paraId="1A2A1782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EB7B24">
              <w:rPr>
                <w:lang w:val="en-US"/>
              </w:rPr>
              <w:t>sv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86" w:type="dxa"/>
          </w:tcPr>
          <w:p w14:paraId="5BD48787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d</w:t>
            </w:r>
            <w:r w:rsidRPr="00EB7B24">
              <w:rPr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67" w:type="dxa"/>
          </w:tcPr>
          <w:p w14:paraId="036033D1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Pr="00EB7B24">
              <w:rPr>
                <w:lang w:val="en-US"/>
              </w:rPr>
              <w:t>pg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64" w:type="dxa"/>
          </w:tcPr>
          <w:p w14:paraId="1CB09060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html</w:t>
            </w:r>
          </w:p>
        </w:tc>
        <w:tc>
          <w:tcPr>
            <w:tcW w:w="1631" w:type="dxa"/>
          </w:tcPr>
          <w:p w14:paraId="3C9F763C" w14:textId="77777777" w:rsidR="00366F20" w:rsidRPr="00EB7B24" w:rsidDel="00B71881" w:rsidRDefault="00366F20" w:rsidP="00BE612A">
            <w:pPr>
              <w:ind w:left="284" w:hanging="284"/>
              <w:rPr>
                <w:lang w:val="en-US"/>
              </w:rPr>
            </w:pPr>
            <w:proofErr w:type="spellStart"/>
            <w:r w:rsidRPr="00EB7B24">
              <w:rPr>
                <w:lang w:val="en-US"/>
              </w:rPr>
              <w:t>mdb</w:t>
            </w:r>
            <w:proofErr w:type="spellEnd"/>
          </w:p>
        </w:tc>
        <w:tc>
          <w:tcPr>
            <w:tcW w:w="1242" w:type="dxa"/>
          </w:tcPr>
          <w:p w14:paraId="4C87C0F3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</w:p>
        </w:tc>
      </w:tr>
      <w:tr w:rsidR="00366F20" w:rsidRPr="00EB7B24" w14:paraId="40655D2B" w14:textId="77777777" w:rsidTr="00BE612A">
        <w:tc>
          <w:tcPr>
            <w:tcW w:w="1590" w:type="dxa"/>
          </w:tcPr>
          <w:p w14:paraId="5CA0F658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mp3</w:t>
            </w:r>
          </w:p>
        </w:tc>
        <w:tc>
          <w:tcPr>
            <w:tcW w:w="1586" w:type="dxa"/>
          </w:tcPr>
          <w:p w14:paraId="26176E67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mp4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67" w:type="dxa"/>
          </w:tcPr>
          <w:p w14:paraId="6BF3367D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proofErr w:type="spellStart"/>
            <w:r w:rsidRPr="00EB7B24">
              <w:rPr>
                <w:lang w:val="en-US"/>
              </w:rPr>
              <w:t>swf</w:t>
            </w:r>
            <w:proofErr w:type="spellEnd"/>
            <w:r w:rsidRPr="00EB7B24" w:rsidDel="00B71881">
              <w:rPr>
                <w:lang w:val="en-US"/>
              </w:rPr>
              <w:t xml:space="preserve"> </w:t>
            </w:r>
          </w:p>
        </w:tc>
        <w:tc>
          <w:tcPr>
            <w:tcW w:w="1564" w:type="dxa"/>
          </w:tcPr>
          <w:p w14:paraId="6C7E47C7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 w:rsidRPr="00EB7B24">
              <w:rPr>
                <w:lang w:val="en-US"/>
              </w:rPr>
              <w:t>if</w:t>
            </w:r>
            <w:proofErr w:type="spellEnd"/>
            <w:r>
              <w:rPr>
                <w:lang w:val="en-US"/>
              </w:rPr>
              <w:t xml:space="preserve"> </w:t>
            </w:r>
            <w:r w:rsidRPr="00EB7B24">
              <w:rPr>
                <w:lang w:val="en-US"/>
              </w:rPr>
              <w:t xml:space="preserve"> </w:t>
            </w:r>
          </w:p>
        </w:tc>
        <w:tc>
          <w:tcPr>
            <w:tcW w:w="1631" w:type="dxa"/>
          </w:tcPr>
          <w:p w14:paraId="43948C90" w14:textId="77777777" w:rsidR="00366F20" w:rsidRPr="00EB7B24" w:rsidDel="00B71881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txt</w:t>
            </w:r>
          </w:p>
        </w:tc>
        <w:tc>
          <w:tcPr>
            <w:tcW w:w="1242" w:type="dxa"/>
          </w:tcPr>
          <w:p w14:paraId="34E1401D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</w:p>
        </w:tc>
      </w:tr>
      <w:tr w:rsidR="00366F20" w:rsidRPr="00EB7B24" w14:paraId="063A060C" w14:textId="77777777" w:rsidTr="00BE612A">
        <w:tc>
          <w:tcPr>
            <w:tcW w:w="1590" w:type="dxa"/>
          </w:tcPr>
          <w:p w14:paraId="0BB42326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wav</w:t>
            </w:r>
          </w:p>
        </w:tc>
        <w:tc>
          <w:tcPr>
            <w:tcW w:w="1586" w:type="dxa"/>
          </w:tcPr>
          <w:p w14:paraId="18B52B32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proofErr w:type="spellStart"/>
            <w:r w:rsidRPr="00EB7B24">
              <w:rPr>
                <w:lang w:val="en-US"/>
              </w:rPr>
              <w:t>wma</w:t>
            </w:r>
            <w:proofErr w:type="spellEnd"/>
            <w:r w:rsidRPr="00EB7B24" w:rsidDel="00B71881">
              <w:rPr>
                <w:lang w:val="en-US"/>
              </w:rPr>
              <w:t xml:space="preserve"> </w:t>
            </w:r>
          </w:p>
        </w:tc>
        <w:tc>
          <w:tcPr>
            <w:tcW w:w="1567" w:type="dxa"/>
          </w:tcPr>
          <w:p w14:paraId="7946CE17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xml</w:t>
            </w:r>
          </w:p>
        </w:tc>
        <w:tc>
          <w:tcPr>
            <w:tcW w:w="1564" w:type="dxa"/>
          </w:tcPr>
          <w:p w14:paraId="2C5D39A6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zip</w:t>
            </w:r>
          </w:p>
        </w:tc>
        <w:tc>
          <w:tcPr>
            <w:tcW w:w="1631" w:type="dxa"/>
          </w:tcPr>
          <w:p w14:paraId="0F79615C" w14:textId="77777777" w:rsidR="00366F20" w:rsidRPr="00EB7B24" w:rsidDel="00B71881" w:rsidRDefault="00366F20" w:rsidP="00BE612A">
            <w:pPr>
              <w:ind w:left="284" w:hanging="284"/>
              <w:rPr>
                <w:lang w:val="en-US"/>
              </w:rPr>
            </w:pPr>
          </w:p>
        </w:tc>
        <w:tc>
          <w:tcPr>
            <w:tcW w:w="1242" w:type="dxa"/>
          </w:tcPr>
          <w:p w14:paraId="3E98C7E9" w14:textId="77777777" w:rsidR="00366F20" w:rsidRPr="00EB7B24" w:rsidRDefault="00366F20" w:rsidP="00BE612A">
            <w:pPr>
              <w:ind w:left="284" w:hanging="284"/>
              <w:rPr>
                <w:lang w:val="en-US"/>
              </w:rPr>
            </w:pPr>
          </w:p>
        </w:tc>
      </w:tr>
    </w:tbl>
    <w:p w14:paraId="7B06AA03" w14:textId="77777777" w:rsidR="00366F20" w:rsidRPr="008C5622" w:rsidRDefault="00366F20" w:rsidP="00366F20">
      <w:pPr>
        <w:pStyle w:val="Heading2"/>
      </w:pPr>
      <w:bookmarkStart w:id="0" w:name="_Toc428541722"/>
      <w:r w:rsidRPr="008C5622">
        <w:t>File name restrictions</w:t>
      </w:r>
      <w:bookmarkEnd w:id="0"/>
    </w:p>
    <w:p w14:paraId="49B52302" w14:textId="77777777" w:rsidR="00366F20" w:rsidRPr="009B0F88" w:rsidRDefault="00366F20" w:rsidP="00366F20">
      <w:pPr>
        <w:rPr>
          <w:lang w:val="en-US"/>
        </w:rPr>
      </w:pPr>
      <w:r w:rsidRPr="009B0F88">
        <w:rPr>
          <w:lang w:val="en-US"/>
        </w:rPr>
        <w:t xml:space="preserve">An error message will appear when attempting to </w:t>
      </w:r>
      <w:r>
        <w:rPr>
          <w:lang w:val="en-US"/>
        </w:rPr>
        <w:t>upload</w:t>
      </w:r>
      <w:r w:rsidRPr="009B0F88">
        <w:rPr>
          <w:lang w:val="en-US"/>
        </w:rPr>
        <w:t xml:space="preserve"> </w:t>
      </w:r>
      <w:r>
        <w:rPr>
          <w:lang w:val="en-US"/>
        </w:rPr>
        <w:t>any file</w:t>
      </w:r>
      <w:r w:rsidRPr="009B0F88">
        <w:rPr>
          <w:lang w:val="en-US"/>
        </w:rPr>
        <w:t xml:space="preserve"> with a file name:</w:t>
      </w:r>
    </w:p>
    <w:p w14:paraId="450CEF8C" w14:textId="77777777" w:rsidR="00366F20" w:rsidRPr="008C5622" w:rsidRDefault="00366F20" w:rsidP="00366F20">
      <w:pPr>
        <w:pStyle w:val="Bullet1"/>
        <w:rPr>
          <w:rFonts w:cs="Arial"/>
        </w:rPr>
      </w:pPr>
      <w:r w:rsidRPr="008C5622">
        <w:rPr>
          <w:rFonts w:cs="Arial"/>
        </w:rPr>
        <w:t>of more than 128 characters in length</w:t>
      </w:r>
    </w:p>
    <w:p w14:paraId="1C4EB650" w14:textId="77777777" w:rsidR="00366F20" w:rsidRPr="008C5622" w:rsidRDefault="00366F20" w:rsidP="00366F20">
      <w:pPr>
        <w:pStyle w:val="Bullet1"/>
        <w:rPr>
          <w:rFonts w:cs="Arial"/>
        </w:rPr>
      </w:pPr>
      <w:r w:rsidRPr="008C5622">
        <w:rPr>
          <w:rFonts w:cs="Arial"/>
        </w:rPr>
        <w:t xml:space="preserve">containing any of the following characters: </w:t>
      </w: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2410"/>
        <w:gridCol w:w="2835"/>
      </w:tblGrid>
      <w:tr w:rsidR="00366F20" w14:paraId="69E3A09F" w14:textId="77777777" w:rsidTr="00366F20">
        <w:tc>
          <w:tcPr>
            <w:tcW w:w="2268" w:type="dxa"/>
          </w:tcPr>
          <w:p w14:paraId="12B4D67C" w14:textId="77777777" w:rsidR="00366F20" w:rsidRDefault="00366F20" w:rsidP="00366F20">
            <w:pPr>
              <w:pStyle w:val="Bullet2"/>
              <w:ind w:left="266"/>
            </w:pPr>
            <w:r>
              <w:t>tilde (~)</w:t>
            </w:r>
          </w:p>
        </w:tc>
        <w:tc>
          <w:tcPr>
            <w:tcW w:w="1985" w:type="dxa"/>
          </w:tcPr>
          <w:p w14:paraId="3E950819" w14:textId="77777777" w:rsidR="00366F20" w:rsidRDefault="00366F20" w:rsidP="00366F20">
            <w:pPr>
              <w:pStyle w:val="Bullet2"/>
              <w:ind w:left="268"/>
            </w:pPr>
            <w:r>
              <w:t>a</w:t>
            </w:r>
            <w:r w:rsidRPr="009C60F5">
              <w:t>sterisk (*)</w:t>
            </w:r>
          </w:p>
        </w:tc>
        <w:tc>
          <w:tcPr>
            <w:tcW w:w="2410" w:type="dxa"/>
          </w:tcPr>
          <w:p w14:paraId="766471A2" w14:textId="77777777" w:rsidR="00366F20" w:rsidRDefault="00366F20" w:rsidP="00366F20">
            <w:pPr>
              <w:pStyle w:val="Bullet2"/>
              <w:ind w:left="316"/>
            </w:pPr>
            <w:r>
              <w:t>p</w:t>
            </w:r>
            <w:r w:rsidRPr="009C60F5">
              <w:t>ipe (|)</w:t>
            </w:r>
          </w:p>
        </w:tc>
        <w:tc>
          <w:tcPr>
            <w:tcW w:w="2835" w:type="dxa"/>
          </w:tcPr>
          <w:p w14:paraId="066849CB" w14:textId="77777777" w:rsidR="00366F20" w:rsidRPr="00366F20" w:rsidRDefault="00366F20" w:rsidP="00366F20">
            <w:pPr>
              <w:pStyle w:val="Bullet2"/>
              <w:ind w:left="313" w:right="-716"/>
            </w:pPr>
            <w:r>
              <w:t xml:space="preserve">angle brackets </w:t>
            </w:r>
            <w:r w:rsidRPr="00366F20">
              <w:t>(&lt; or &gt;)</w:t>
            </w:r>
          </w:p>
        </w:tc>
      </w:tr>
      <w:tr w:rsidR="00366F20" w14:paraId="16465CA7" w14:textId="77777777" w:rsidTr="00366F20">
        <w:tc>
          <w:tcPr>
            <w:tcW w:w="2268" w:type="dxa"/>
          </w:tcPr>
          <w:p w14:paraId="5C95F696" w14:textId="77777777" w:rsidR="00366F20" w:rsidRDefault="00366F20" w:rsidP="00366F20">
            <w:pPr>
              <w:pStyle w:val="Bullet2"/>
              <w:ind w:left="266"/>
            </w:pPr>
            <w:r>
              <w:t>hash (#)</w:t>
            </w:r>
          </w:p>
        </w:tc>
        <w:tc>
          <w:tcPr>
            <w:tcW w:w="1985" w:type="dxa"/>
          </w:tcPr>
          <w:p w14:paraId="0021B7E1" w14:textId="77777777" w:rsidR="00366F20" w:rsidRDefault="00366F20" w:rsidP="00366F20">
            <w:pPr>
              <w:pStyle w:val="Bullet2"/>
              <w:ind w:left="268"/>
            </w:pPr>
            <w:r>
              <w:t>plus (+)</w:t>
            </w:r>
          </w:p>
        </w:tc>
        <w:tc>
          <w:tcPr>
            <w:tcW w:w="2410" w:type="dxa"/>
          </w:tcPr>
          <w:p w14:paraId="2897EEFB" w14:textId="77777777" w:rsidR="00366F20" w:rsidRDefault="00366F20" w:rsidP="00366F20">
            <w:pPr>
              <w:pStyle w:val="Bullet2"/>
              <w:ind w:left="316"/>
            </w:pPr>
            <w:r>
              <w:t>colon (:)</w:t>
            </w:r>
          </w:p>
        </w:tc>
        <w:tc>
          <w:tcPr>
            <w:tcW w:w="2835" w:type="dxa"/>
          </w:tcPr>
          <w:p w14:paraId="67B7EE85" w14:textId="77777777" w:rsidR="00366F20" w:rsidRPr="00366F20" w:rsidRDefault="00366F20" w:rsidP="00366F20">
            <w:pPr>
              <w:pStyle w:val="Bullet2"/>
              <w:ind w:left="313" w:right="-716"/>
            </w:pPr>
            <w:r>
              <w:t xml:space="preserve">braces </w:t>
            </w:r>
            <w:proofErr w:type="gramStart"/>
            <w:r w:rsidRPr="00366F20">
              <w:t>({ or</w:t>
            </w:r>
            <w:proofErr w:type="gramEnd"/>
            <w:r w:rsidRPr="00366F20">
              <w:t xml:space="preserve"> })</w:t>
            </w:r>
          </w:p>
        </w:tc>
      </w:tr>
      <w:tr w:rsidR="00366F20" w14:paraId="13CD3F1C" w14:textId="77777777" w:rsidTr="00366F20">
        <w:tc>
          <w:tcPr>
            <w:tcW w:w="2268" w:type="dxa"/>
          </w:tcPr>
          <w:p w14:paraId="245D4192" w14:textId="77777777" w:rsidR="00366F20" w:rsidRDefault="00366F20" w:rsidP="00366F20">
            <w:pPr>
              <w:pStyle w:val="Bullet2"/>
              <w:ind w:left="266"/>
            </w:pPr>
            <w:r>
              <w:t>percent (%)</w:t>
            </w:r>
          </w:p>
        </w:tc>
        <w:tc>
          <w:tcPr>
            <w:tcW w:w="1985" w:type="dxa"/>
          </w:tcPr>
          <w:p w14:paraId="28A93BC8" w14:textId="77777777" w:rsidR="00366F20" w:rsidRDefault="00366F20" w:rsidP="00366F20">
            <w:pPr>
              <w:pStyle w:val="Bullet2"/>
              <w:ind w:left="268"/>
            </w:pPr>
            <w:r>
              <w:t>s</w:t>
            </w:r>
            <w:r w:rsidRPr="009C60F5">
              <w:t>lash (</w:t>
            </w:r>
            <w:r>
              <w:t>/</w:t>
            </w:r>
            <w:r w:rsidRPr="009C60F5">
              <w:t>)</w:t>
            </w:r>
          </w:p>
        </w:tc>
        <w:tc>
          <w:tcPr>
            <w:tcW w:w="2410" w:type="dxa"/>
          </w:tcPr>
          <w:p w14:paraId="7F6734E7" w14:textId="77777777" w:rsidR="00366F20" w:rsidRDefault="00366F20" w:rsidP="00366F20">
            <w:pPr>
              <w:pStyle w:val="Bullet2"/>
              <w:ind w:left="316"/>
            </w:pPr>
            <w:r>
              <w:t xml:space="preserve">quotation mark </w:t>
            </w:r>
            <w:r w:rsidRPr="009C60F5">
              <w:t>(")</w:t>
            </w:r>
          </w:p>
        </w:tc>
        <w:tc>
          <w:tcPr>
            <w:tcW w:w="2835" w:type="dxa"/>
          </w:tcPr>
          <w:p w14:paraId="35658C89" w14:textId="77777777" w:rsidR="00366F20" w:rsidRDefault="00366F20" w:rsidP="00366F20">
            <w:pPr>
              <w:pStyle w:val="Bullet2"/>
              <w:numPr>
                <w:ilvl w:val="0"/>
                <w:numId w:val="0"/>
              </w:numPr>
              <w:ind w:left="568" w:right="-291"/>
            </w:pPr>
          </w:p>
        </w:tc>
      </w:tr>
      <w:tr w:rsidR="00366F20" w14:paraId="0FA1C8A2" w14:textId="77777777" w:rsidTr="00366F20">
        <w:tc>
          <w:tcPr>
            <w:tcW w:w="2268" w:type="dxa"/>
          </w:tcPr>
          <w:p w14:paraId="43FAD8C2" w14:textId="77777777" w:rsidR="00366F20" w:rsidRDefault="00366F20" w:rsidP="00366F20">
            <w:pPr>
              <w:pStyle w:val="Bullet2"/>
              <w:ind w:left="266"/>
            </w:pPr>
            <w:r>
              <w:t>ampersand (&amp;)</w:t>
            </w:r>
          </w:p>
        </w:tc>
        <w:tc>
          <w:tcPr>
            <w:tcW w:w="1985" w:type="dxa"/>
          </w:tcPr>
          <w:p w14:paraId="095A5E2D" w14:textId="77777777" w:rsidR="00366F20" w:rsidRDefault="00366F20" w:rsidP="00366F20">
            <w:pPr>
              <w:pStyle w:val="Bullet2"/>
              <w:ind w:left="268"/>
            </w:pPr>
            <w:r>
              <w:t>backslash (\)</w:t>
            </w:r>
          </w:p>
        </w:tc>
        <w:tc>
          <w:tcPr>
            <w:tcW w:w="2410" w:type="dxa"/>
          </w:tcPr>
          <w:p w14:paraId="6ADB93B3" w14:textId="77777777" w:rsidR="00366F20" w:rsidRDefault="00366F20" w:rsidP="00366F20">
            <w:pPr>
              <w:pStyle w:val="Bullet2"/>
              <w:ind w:left="321"/>
            </w:pPr>
            <w:r>
              <w:t>question mark (?)</w:t>
            </w:r>
          </w:p>
        </w:tc>
        <w:tc>
          <w:tcPr>
            <w:tcW w:w="2835" w:type="dxa"/>
          </w:tcPr>
          <w:p w14:paraId="04BE3271" w14:textId="77777777" w:rsidR="00366F20" w:rsidRDefault="00366F20" w:rsidP="00366F20">
            <w:pPr>
              <w:pStyle w:val="Bullet2"/>
              <w:numPr>
                <w:ilvl w:val="0"/>
                <w:numId w:val="0"/>
              </w:numPr>
              <w:ind w:left="568"/>
            </w:pPr>
          </w:p>
        </w:tc>
      </w:tr>
    </w:tbl>
    <w:p w14:paraId="4C9AAF70" w14:textId="77777777" w:rsidR="00366F20" w:rsidRPr="008C5622" w:rsidRDefault="00366F20" w:rsidP="00366F20">
      <w:pPr>
        <w:pStyle w:val="Heading2"/>
      </w:pPr>
      <w:r w:rsidRPr="00D66C56">
        <w:t>PDF format</w:t>
      </w:r>
    </w:p>
    <w:p w14:paraId="65494B8E" w14:textId="77777777" w:rsidR="00366F20" w:rsidRDefault="00366F20" w:rsidP="00366F20">
      <w:r w:rsidRPr="00E70490">
        <w:t xml:space="preserve">If submitting a file in pdf format, please ensure, where possible, that the text in the file can be searched, selected, </w:t>
      </w:r>
      <w:proofErr w:type="gramStart"/>
      <w:r w:rsidRPr="00E70490">
        <w:t>copied</w:t>
      </w:r>
      <w:proofErr w:type="gramEnd"/>
      <w:r w:rsidRPr="00E70490">
        <w:t xml:space="preserve"> and pasted – note that generally, pdf files created from Word/Excel are searchable, while pdf files created from scanned files are generally not.</w:t>
      </w:r>
    </w:p>
    <w:p w14:paraId="47E467B1" w14:textId="77777777" w:rsidR="00366F20" w:rsidRPr="008C5622" w:rsidRDefault="00366F20" w:rsidP="00366F20">
      <w:pPr>
        <w:pStyle w:val="Heading2"/>
      </w:pPr>
      <w:r w:rsidRPr="00D66C56">
        <w:t>Compressed and zipped files</w:t>
      </w:r>
    </w:p>
    <w:p w14:paraId="206ADABA" w14:textId="77777777" w:rsidR="00366F20" w:rsidRDefault="00366F20" w:rsidP="00366F20">
      <w:r>
        <w:t xml:space="preserve">Where files are compressed or “zipped” for uploading, please list the files that are in the zipped files in the </w:t>
      </w:r>
      <w:r w:rsidRPr="00E70490">
        <w:rPr>
          <w:rFonts w:cs="Arial"/>
        </w:rPr>
        <w:t xml:space="preserve">Confirmed Evidence </w:t>
      </w:r>
      <w:proofErr w:type="gramStart"/>
      <w:r w:rsidRPr="00E70490">
        <w:rPr>
          <w:rFonts w:cs="Arial"/>
        </w:rPr>
        <w:t>Table</w:t>
      </w:r>
      <w:r>
        <w:t>, or</w:t>
      </w:r>
      <w:proofErr w:type="gramEnd"/>
      <w:r>
        <w:t xml:space="preserve"> upload a table listing them along with the zipped file.  </w:t>
      </w:r>
    </w:p>
    <w:p w14:paraId="3E55DADA" w14:textId="77777777" w:rsidR="00366F20" w:rsidRPr="008C5622" w:rsidRDefault="00366F20" w:rsidP="00366F20">
      <w:pPr>
        <w:pStyle w:val="Heading2"/>
      </w:pPr>
      <w:r w:rsidRPr="00D66C56">
        <w:t>File size limits</w:t>
      </w:r>
    </w:p>
    <w:p w14:paraId="7EB9A965" w14:textId="77777777" w:rsidR="00366F20" w:rsidRDefault="00366F20" w:rsidP="00366F20">
      <w:r>
        <w:t>Uploaded files must be 10MB or less. Larger files can be provided via a link (</w:t>
      </w:r>
      <w:proofErr w:type="gramStart"/>
      <w:r>
        <w:t>e.g.</w:t>
      </w:r>
      <w:proofErr w:type="gramEnd"/>
      <w:r>
        <w:t xml:space="preserve"> to the provider’s website). Alternatively, speak to your case manager.</w:t>
      </w:r>
    </w:p>
    <w:p w14:paraId="33A47D7B" w14:textId="77777777" w:rsidR="00366F20" w:rsidRDefault="00366F20" w:rsidP="00366F20">
      <w:pPr>
        <w:pStyle w:val="BulletsL1"/>
        <w:numPr>
          <w:ilvl w:val="0"/>
          <w:numId w:val="0"/>
        </w:numPr>
        <w:spacing w:after="160"/>
      </w:pPr>
      <w:r>
        <w:t>For additional information, refer to the Provider Portal Frequently Asked Questions &lt;</w:t>
      </w:r>
      <w:hyperlink r:id="rId10" w:history="1">
        <w:r w:rsidR="00A202BC" w:rsidRPr="00C27B13">
          <w:rPr>
            <w:rStyle w:val="Hyperlink"/>
          </w:rPr>
          <w:t>https://www.teqsa.gov.au/latest-news/publications/provider-portal-frequently-asked-questions</w:t>
        </w:r>
      </w:hyperlink>
      <w:r>
        <w:t>&gt;.</w:t>
      </w:r>
    </w:p>
    <w:p w14:paraId="486E9FD7" w14:textId="77777777" w:rsidR="006C328D" w:rsidRPr="006C328D" w:rsidRDefault="00366F20" w:rsidP="00366F20">
      <w:pPr>
        <w:pStyle w:val="BulletsL1"/>
        <w:numPr>
          <w:ilvl w:val="0"/>
          <w:numId w:val="0"/>
        </w:numPr>
      </w:pPr>
      <w:r>
        <w:lastRenderedPageBreak/>
        <w:t xml:space="preserve">A video help </w:t>
      </w:r>
      <w:proofErr w:type="gramStart"/>
      <w:r>
        <w:t>guide</w:t>
      </w:r>
      <w:proofErr w:type="gramEnd"/>
      <w:r>
        <w:t xml:space="preserve"> and other support material are also available on the ‘</w:t>
      </w:r>
      <w:r w:rsidR="00A202BC" w:rsidRPr="00A202BC">
        <w:t>Provider portal information</w:t>
      </w:r>
      <w:r w:rsidR="00A202BC">
        <w:t xml:space="preserve">’ page </w:t>
      </w:r>
      <w:r>
        <w:t>of TEQSA’s website &lt;</w:t>
      </w:r>
      <w:hyperlink r:id="rId11" w:history="1">
        <w:r w:rsidR="00A202BC" w:rsidRPr="00C27B13">
          <w:rPr>
            <w:rStyle w:val="Hyperlink"/>
          </w:rPr>
          <w:t>https://www.teqsa.gov.au/provider-portal-information</w:t>
        </w:r>
      </w:hyperlink>
      <w:r>
        <w:t>&gt;.</w:t>
      </w:r>
    </w:p>
    <w:sectPr w:rsidR="006C328D" w:rsidRPr="006C328D" w:rsidSect="00FF2540">
      <w:headerReference w:type="default" r:id="rId12"/>
      <w:footerReference w:type="default" r:id="rId13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AD8B" w14:textId="77777777" w:rsidR="00FB030E" w:rsidRDefault="00FB030E" w:rsidP="006C328D">
      <w:pPr>
        <w:spacing w:before="0" w:after="0"/>
      </w:pPr>
      <w:r>
        <w:separator/>
      </w:r>
    </w:p>
  </w:endnote>
  <w:endnote w:type="continuationSeparator" w:id="0">
    <w:p w14:paraId="5D63A169" w14:textId="77777777" w:rsidR="00FB030E" w:rsidRDefault="00FB030E" w:rsidP="006C3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847E" w:themeColor="accent1"/>
        <w:sz w:val="20"/>
        <w:szCs w:val="20"/>
      </w:rPr>
      <w:id w:val="-1988930592"/>
      <w:docPartObj>
        <w:docPartGallery w:val="Page Numbers (Bottom of Page)"/>
        <w:docPartUnique/>
      </w:docPartObj>
    </w:sdtPr>
    <w:sdtEndPr/>
    <w:sdtContent>
      <w:sdt>
        <w:sdtPr>
          <w:rPr>
            <w:color w:val="00847E" w:themeColor="accent1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999C04" w14:textId="77777777" w:rsidR="00FF2540" w:rsidRPr="00366F20" w:rsidRDefault="00366F20" w:rsidP="00366F20">
            <w:pPr>
              <w:pStyle w:val="Footer"/>
              <w:jc w:val="right"/>
              <w:rPr>
                <w:color w:val="00847E" w:themeColor="accent1"/>
                <w:sz w:val="20"/>
                <w:szCs w:val="20"/>
              </w:rPr>
            </w:pPr>
            <w:r w:rsidRPr="00366F20">
              <w:rPr>
                <w:color w:val="00A6AA"/>
                <w:sz w:val="20"/>
                <w:szCs w:val="20"/>
              </w:rPr>
              <w:t>(</w:t>
            </w:r>
            <w:r>
              <w:rPr>
                <w:color w:val="00A6AA"/>
                <w:sz w:val="20"/>
                <w:szCs w:val="20"/>
              </w:rPr>
              <w:t>v</w:t>
            </w:r>
            <w:r w:rsidRPr="00366F20">
              <w:rPr>
                <w:color w:val="00A6AA"/>
                <w:sz w:val="20"/>
                <w:szCs w:val="20"/>
              </w:rPr>
              <w:t>2.0)</w:t>
            </w:r>
            <w:r>
              <w:rPr>
                <w:color w:val="00A6AA"/>
                <w:sz w:val="18"/>
              </w:rPr>
              <w:t xml:space="preserve"> </w:t>
            </w:r>
            <w:r w:rsidR="00FF2540" w:rsidRPr="00366F20">
              <w:rPr>
                <w:color w:val="00847E" w:themeColor="accent1"/>
                <w:sz w:val="20"/>
                <w:szCs w:val="20"/>
              </w:rPr>
              <w:t>P</w:t>
            </w:r>
            <w:r w:rsidR="00FF2540" w:rsidRPr="00FF2540">
              <w:rPr>
                <w:color w:val="00847E" w:themeColor="accent1"/>
                <w:sz w:val="20"/>
                <w:szCs w:val="20"/>
              </w:rPr>
              <w:t xml:space="preserve">age </w: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PAGE </w:instrTex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2871A9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3</w: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  <w:r w:rsidR="00FF2540" w:rsidRPr="00FF2540">
              <w:rPr>
                <w:color w:val="00847E" w:themeColor="accent1"/>
                <w:sz w:val="20"/>
                <w:szCs w:val="20"/>
              </w:rPr>
              <w:t xml:space="preserve"> of </w: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NUMPAGES  </w:instrTex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2871A9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3</w: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0824" w14:textId="77777777" w:rsidR="00FB030E" w:rsidRDefault="00FB030E" w:rsidP="006C328D">
      <w:pPr>
        <w:spacing w:before="0" w:after="0"/>
      </w:pPr>
      <w:r>
        <w:separator/>
      </w:r>
    </w:p>
  </w:footnote>
  <w:footnote w:type="continuationSeparator" w:id="0">
    <w:p w14:paraId="3A5C19E1" w14:textId="77777777" w:rsidR="00FB030E" w:rsidRDefault="00FB030E" w:rsidP="006C32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3EE3" w14:textId="77777777" w:rsidR="006C328D" w:rsidRPr="006C328D" w:rsidRDefault="006C328D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01521EB7" wp14:editId="46710E59">
          <wp:extent cx="3228975" cy="476067"/>
          <wp:effectExtent l="0" t="0" r="0" b="635"/>
          <wp:docPr id="7" name="Picture 7" descr="I:\Corporate\Communications\Logos\2017 New Brand Logo\Crest logo\PNG\TEQSA-Crest-Na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rporate\Communications\Logos\2017 New Brand Logo\Crest logo\PNG\TEQSA-Crest-Nav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972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7A404B30" wp14:editId="0F917A75">
          <wp:extent cx="1428750" cy="353174"/>
          <wp:effectExtent l="0" t="0" r="0" b="8890"/>
          <wp:docPr id="8" name="Picture 8" descr="I:\Corporate\Communications\Logos\2017 New Brand Logo\Wordmark\PNG\TEQSA-WM-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orporate\Communications\Logos\2017 New Brand Logo\Wordmark\PNG\TEQSA-WM-te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107" cy="35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36pt" o:bullet="t">
        <v:imagedata r:id="rId1" o:title="Teal-Triangles"/>
      </v:shape>
    </w:pict>
  </w:numPicBullet>
  <w:numPicBullet w:numPicBulletId="1">
    <w:pict>
      <v:shape id="_x0000_i1027" type="#_x0000_t75" style="width:1in;height:36pt" o:bullet="t">
        <v:imagedata r:id="rId2" o:title="Pink-Triangles"/>
      </v:shape>
    </w:pict>
  </w:numPicBullet>
  <w:numPicBullet w:numPicBulletId="2">
    <w:pict>
      <v:shape id="_x0000_i1028" type="#_x0000_t75" style="width:1in;height:36pt" o:bullet="t">
        <v:imagedata r:id="rId3" o:title="Yellow-Triangles"/>
      </v:shape>
    </w:pict>
  </w:numPicBullet>
  <w:abstractNum w:abstractNumId="0" w15:restartNumberingAfterBreak="0">
    <w:nsid w:val="215A2E56"/>
    <w:multiLevelType w:val="hybridMultilevel"/>
    <w:tmpl w:val="3A9CDA22"/>
    <w:lvl w:ilvl="0" w:tplc="F50EB21A">
      <w:start w:val="1"/>
      <w:numFmt w:val="bullet"/>
      <w:pStyle w:val="BulletsL2"/>
      <w:lvlText w:val="4"/>
      <w:lvlJc w:val="left"/>
      <w:pPr>
        <w:ind w:left="2586" w:hanging="360"/>
      </w:pPr>
      <w:rPr>
        <w:rFonts w:ascii="Webdings" w:hAnsi="Webdings" w:hint="default"/>
        <w:color w:val="00A6AA"/>
      </w:rPr>
    </w:lvl>
    <w:lvl w:ilvl="1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" w15:restartNumberingAfterBreak="0">
    <w:nsid w:val="21EE63B2"/>
    <w:multiLevelType w:val="hybridMultilevel"/>
    <w:tmpl w:val="5032000C"/>
    <w:lvl w:ilvl="0" w:tplc="17DA7ADA">
      <w:start w:val="1"/>
      <w:numFmt w:val="bullet"/>
      <w:pStyle w:val="BulletsL1"/>
      <w:lvlText w:val="4"/>
      <w:lvlJc w:val="left"/>
      <w:pPr>
        <w:ind w:left="360" w:hanging="360"/>
      </w:pPr>
      <w:rPr>
        <w:rFonts w:ascii="Webdings" w:hAnsi="Webdings" w:hint="default"/>
        <w:color w:val="004855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0E4BE9"/>
    <w:multiLevelType w:val="hybridMultilevel"/>
    <w:tmpl w:val="BD24B66E"/>
    <w:lvl w:ilvl="0" w:tplc="C296A44A">
      <w:start w:val="1"/>
      <w:numFmt w:val="bullet"/>
      <w:lvlText w:val="4"/>
      <w:lvlJc w:val="left"/>
      <w:pPr>
        <w:ind w:left="1080" w:hanging="360"/>
      </w:pPr>
      <w:rPr>
        <w:rFonts w:ascii="Webdings" w:hAnsi="Webdings" w:hint="default"/>
        <w:color w:val="00A6A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5A332E"/>
    <w:multiLevelType w:val="multilevel"/>
    <w:tmpl w:val="EDDCBB3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28366699">
    <w:abstractNumId w:val="13"/>
  </w:num>
  <w:num w:numId="2" w16cid:durableId="953050399">
    <w:abstractNumId w:val="12"/>
  </w:num>
  <w:num w:numId="3" w16cid:durableId="1905137365">
    <w:abstractNumId w:val="6"/>
  </w:num>
  <w:num w:numId="4" w16cid:durableId="1330521797">
    <w:abstractNumId w:val="11"/>
  </w:num>
  <w:num w:numId="5" w16cid:durableId="1446928632">
    <w:abstractNumId w:val="10"/>
  </w:num>
  <w:num w:numId="6" w16cid:durableId="447353101">
    <w:abstractNumId w:val="8"/>
  </w:num>
  <w:num w:numId="7" w16cid:durableId="1589073432">
    <w:abstractNumId w:val="2"/>
  </w:num>
  <w:num w:numId="8" w16cid:durableId="1671903056">
    <w:abstractNumId w:val="3"/>
  </w:num>
  <w:num w:numId="9" w16cid:durableId="1247764938">
    <w:abstractNumId w:val="4"/>
  </w:num>
  <w:num w:numId="10" w16cid:durableId="885604934">
    <w:abstractNumId w:val="9"/>
  </w:num>
  <w:num w:numId="11" w16cid:durableId="957377047">
    <w:abstractNumId w:val="7"/>
  </w:num>
  <w:num w:numId="12" w16cid:durableId="1607036810">
    <w:abstractNumId w:val="1"/>
  </w:num>
  <w:num w:numId="13" w16cid:durableId="578834959">
    <w:abstractNumId w:val="0"/>
  </w:num>
  <w:num w:numId="14" w16cid:durableId="117102062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8D"/>
    <w:rsid w:val="00024627"/>
    <w:rsid w:val="001F39F5"/>
    <w:rsid w:val="002871A9"/>
    <w:rsid w:val="0029502C"/>
    <w:rsid w:val="003332C8"/>
    <w:rsid w:val="00366F20"/>
    <w:rsid w:val="005B458E"/>
    <w:rsid w:val="006C328D"/>
    <w:rsid w:val="00737558"/>
    <w:rsid w:val="007B01C8"/>
    <w:rsid w:val="007F78F7"/>
    <w:rsid w:val="009B769E"/>
    <w:rsid w:val="009F08C9"/>
    <w:rsid w:val="00A202BC"/>
    <w:rsid w:val="00E37624"/>
    <w:rsid w:val="00FB030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E80A8"/>
  <w15:docId w15:val="{55DE76BA-4093-4B02-966F-8DC83696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8E"/>
  </w:style>
  <w:style w:type="paragraph" w:styleId="Heading1">
    <w:name w:val="heading 1"/>
    <w:basedOn w:val="Normal"/>
    <w:next w:val="Normal"/>
    <w:link w:val="Heading1Char"/>
    <w:uiPriority w:val="9"/>
    <w:qFormat/>
    <w:rsid w:val="00E37624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A398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78F7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78F7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1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  <w:pPr>
      <w:numPr>
        <w:numId w:val="3"/>
      </w:numPr>
    </w:pPr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3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3"/>
      </w:numPr>
    </w:pPr>
  </w:style>
  <w:style w:type="paragraph" w:customStyle="1" w:styleId="FigureTitle">
    <w:name w:val="Figure Title"/>
    <w:basedOn w:val="Normal"/>
    <w:uiPriority w:val="12"/>
    <w:qFormat/>
    <w:rsid w:val="005B458E"/>
    <w:pPr>
      <w:keepNext/>
      <w:numPr>
        <w:numId w:val="4"/>
      </w:numPr>
      <w:spacing w:before="240"/>
    </w:pPr>
    <w:rPr>
      <w:rFonts w:asciiTheme="majorHAnsi" w:hAnsiTheme="majorHAnsi"/>
      <w:color w:val="00847E" w:themeColor="accent1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37624"/>
    <w:rPr>
      <w:rFonts w:asciiTheme="majorHAnsi" w:eastAsiaTheme="majorEastAsia" w:hAnsiTheme="majorHAnsi" w:cstheme="majorBidi"/>
      <w:b/>
      <w:color w:val="00A398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78F7"/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5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5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6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6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6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7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8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9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10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11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33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66F20"/>
    <w:pPr>
      <w:spacing w:before="40" w:after="160" w:line="280" w:lineRule="exact"/>
      <w:ind w:left="720"/>
      <w:contextualSpacing/>
    </w:pPr>
    <w:rPr>
      <w:rFonts w:ascii="Arial" w:hAnsi="Arial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366F20"/>
    <w:rPr>
      <w:rFonts w:ascii="Arial" w:hAnsi="Arial"/>
      <w:color w:val="auto"/>
    </w:rPr>
  </w:style>
  <w:style w:type="paragraph" w:customStyle="1" w:styleId="BulletsL1">
    <w:name w:val="Bullets L1"/>
    <w:basedOn w:val="ListParagraph"/>
    <w:link w:val="BulletsL1Char"/>
    <w:qFormat/>
    <w:rsid w:val="00366F20"/>
    <w:pPr>
      <w:numPr>
        <w:numId w:val="12"/>
      </w:numPr>
      <w:spacing w:after="120"/>
      <w:contextualSpacing w:val="0"/>
    </w:pPr>
    <w:rPr>
      <w:lang w:val="en-US"/>
    </w:rPr>
  </w:style>
  <w:style w:type="paragraph" w:customStyle="1" w:styleId="BulletsL2">
    <w:name w:val="Bullets L2"/>
    <w:basedOn w:val="BulletsL1"/>
    <w:link w:val="BulletsL2Char"/>
    <w:qFormat/>
    <w:rsid w:val="00366F20"/>
    <w:pPr>
      <w:numPr>
        <w:numId w:val="13"/>
      </w:numPr>
      <w:ind w:left="709"/>
    </w:pPr>
  </w:style>
  <w:style w:type="character" w:customStyle="1" w:styleId="BulletsL1Char">
    <w:name w:val="Bullets L1 Char"/>
    <w:basedOn w:val="ListParagraphChar"/>
    <w:link w:val="BulletsL1"/>
    <w:rsid w:val="00366F20"/>
    <w:rPr>
      <w:rFonts w:ascii="Arial" w:hAnsi="Arial"/>
      <w:color w:val="auto"/>
      <w:lang w:val="en-US"/>
    </w:rPr>
  </w:style>
  <w:style w:type="character" w:customStyle="1" w:styleId="BulletsL2Char">
    <w:name w:val="Bullets L2 Char"/>
    <w:basedOn w:val="BulletsL1Char"/>
    <w:link w:val="BulletsL2"/>
    <w:rsid w:val="00366F20"/>
    <w:rPr>
      <w:rFonts w:ascii="Arial" w:hAnsi="Arial"/>
      <w:color w:val="auto"/>
      <w:lang w:val="en-US"/>
    </w:rPr>
  </w:style>
  <w:style w:type="table" w:styleId="TableGrid">
    <w:name w:val="Table Grid"/>
    <w:basedOn w:val="TableNormal"/>
    <w:uiPriority w:val="59"/>
    <w:rsid w:val="00366F20"/>
    <w:pPr>
      <w:spacing w:before="0" w:after="0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6F20"/>
    <w:rPr>
      <w:color w:val="00847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qsa.gov.au/provider-portal-inform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eqsa.gov.au/latest-news/publications/provider-portal-frequently-asked-ques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ource Item" ma:contentTypeID="0x01010037581DFBB9924576A005A4A1995DD10D001BC120C84BAF1049BC9567D96DB3AF79" ma:contentTypeVersion="12" ma:contentTypeDescription="Resource Item" ma:contentTypeScope="" ma:versionID="0a6d4e0d4502e7ad1409244ae626953e">
  <xsd:schema xmlns:xsd="http://www.w3.org/2001/XMLSchema" xmlns:xs="http://www.w3.org/2001/XMLSchema" xmlns:p="http://schemas.microsoft.com/office/2006/metadata/properties" xmlns:ns2="28b94040-26a8-469a-8038-0c82e6a14f19" xmlns:ns3="979ab06a-6535-4638-b59f-980faa50cb4b" targetNamespace="http://schemas.microsoft.com/office/2006/metadata/properties" ma:root="true" ma:fieldsID="4eacf87ce1613e74ab132e72a9bedc12" ns2:_="" ns3:_="">
    <xsd:import namespace="28b94040-26a8-469a-8038-0c82e6a14f19"/>
    <xsd:import namespace="979ab06a-6535-4638-b59f-980faa50cb4b"/>
    <xsd:element name="properties">
      <xsd:complexType>
        <xsd:sequence>
          <xsd:element name="documentManagement">
            <xsd:complexType>
              <xsd:all>
                <xsd:element ref="ns2:TeqsaDocumentType" minOccurs="0"/>
                <xsd:element ref="ns2:TeqsaTeam" minOccurs="0"/>
                <xsd:element ref="ns3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4040-26a8-469a-8038-0c82e6a14f19" elementFormDefault="qualified">
    <xsd:import namespace="http://schemas.microsoft.com/office/2006/documentManagement/types"/>
    <xsd:import namespace="http://schemas.microsoft.com/office/infopath/2007/PartnerControls"/>
    <xsd:element name="TeqsaDocumentType" ma:index="1" nillable="true" ma:displayName="Type" ma:format="Dropdown" ma:internalName="Teqsa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Knowledge Articl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eqsaTeam" ma:index="2" nillable="true" ma:displayName="Team" ma:format="Dropdown" ma:internalName="TeqsaTe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knowledgement of Country"/>
                    <xsd:enumeration value="APS Employee Census"/>
                    <xsd:enumeration value="Assessment and Investigations"/>
                    <xsd:enumeration value="Assurance"/>
                    <xsd:enumeration value="Business Solutions"/>
                    <xsd:enumeration value="Case Management Handbook"/>
                    <xsd:enumeration value="Commission"/>
                    <xsd:enumeration value="Corporate"/>
                    <xsd:enumeration value="CRM"/>
                    <xsd:enumeration value="Emergency"/>
                    <xsd:enumeration value="Engagement"/>
                    <xsd:enumeration value="Enterprise Agreement"/>
                    <xsd:enumeration value="Executive Office"/>
                    <xsd:enumeration value="Finance"/>
                    <xsd:enumeration value="Governance"/>
                    <xsd:enumeration value="HR Policies and Procedures"/>
                    <xsd:enumeration value="Inclusion and Diversity"/>
                    <xsd:enumeration value="IT"/>
                    <xsd:enumeration value="Learning Committee"/>
                    <xsd:enumeration value="Learning Development"/>
                    <xsd:enumeration value="Legal"/>
                    <xsd:enumeration value="Parliamentary Liaison"/>
                    <xsd:enumeration value="People and Capability"/>
                    <xsd:enumeration value="Policy and Analysis"/>
                    <xsd:enumeration value="Security"/>
                    <xsd:enumeration value="SMT"/>
                    <xsd:enumeration value="Social club"/>
                    <xsd:enumeration value="Staff Consultative Committee"/>
                    <xsd:enumeration value="Thematic Analysis"/>
                    <xsd:enumeration value="Work Health and Safety Committe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b06a-6535-4638-b59f-980faa50cb4b" elementFormDefault="qualified">
    <xsd:import namespace="http://schemas.microsoft.com/office/2006/documentManagement/types"/>
    <xsd:import namespace="http://schemas.microsoft.com/office/infopath/2007/PartnerControls"/>
    <xsd:element name="Owner" ma:index="1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qsaDocumentType xmlns="28b94040-26a8-469a-8038-0c82e6a14f19">
      <Value>Template</Value>
    </TeqsaDocumentType>
    <TeqsaTeam xmlns="28b94040-26a8-469a-8038-0c82e6a14f19">
      <Value>Engagement</Value>
    </TeqsaTeam>
    <Owner xmlns="979ab06a-6535-4638-b59f-980faa50cb4b">
      <UserInfo>
        <DisplayName>Treloar, Karen</DisplayName>
        <AccountId>25</AccountId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E5A6D-2E91-42C3-BCD7-D5FBBDCC8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4040-26a8-469a-8038-0c82e6a14f19"/>
    <ds:schemaRef ds:uri="979ab06a-6535-4638-b59f-980faa50c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E1C12-8773-409A-B29D-4FC4E6BF5F0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79ab06a-6535-4638-b59f-980faa50cb4b"/>
    <ds:schemaRef ds:uri="http://purl.org/dc/terms/"/>
    <ds:schemaRef ds:uri="28b94040-26a8-469a-8038-0c82e6a14f19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Note: Naming Conventions for Evidence</vt:lpstr>
    </vt:vector>
  </TitlesOfParts>
  <Company>Tertiary Education Quality and Standards Agency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Naming conventions for evidence – guide</dc:title>
  <dc:creator>May, Raphael</dc:creator>
  <cp:lastModifiedBy>Tom Hewitt-McManus</cp:lastModifiedBy>
  <cp:revision>8</cp:revision>
  <cp:lastPrinted>2019-08-06T00:07:00Z</cp:lastPrinted>
  <dcterms:created xsi:type="dcterms:W3CDTF">2019-08-05T23:19:00Z</dcterms:created>
  <dcterms:modified xsi:type="dcterms:W3CDTF">2023-10-12T03:49:00Z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0x01010037581DFBB9924576A005A4A1995DD10D001BC120C84BAF1049BC9567D96DB3AF79</vt:lpwstr>
  </property>
  <property fmtid="{D5CDD505-2E9C-101B-9397-08002B2CF9AE}" pid="3" name="Team">
    <vt:lpwstr>45;#Comms and International|f1db5572-7306-443e-a442-d56c9f2c52d1</vt:lpwstr>
  </property>
</Properties>
</file>