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76C5" w14:textId="6DDFC444" w:rsidR="00B759C1" w:rsidRPr="00B77F00" w:rsidRDefault="00524886" w:rsidP="00C95EAF">
      <w:pPr>
        <w:pStyle w:val="Heading1"/>
        <w:spacing w:after="600"/>
        <w:rPr>
          <w:i/>
        </w:rPr>
      </w:pPr>
      <w:r w:rsidRPr="00B77F00">
        <w:t xml:space="preserve">Guidance </w:t>
      </w:r>
      <w:r w:rsidR="009E73BE" w:rsidRPr="00B77F00">
        <w:t>N</w:t>
      </w:r>
      <w:r w:rsidRPr="00B77F00">
        <w:t>ote</w:t>
      </w:r>
      <w:r w:rsidR="00B759C1" w:rsidRPr="00B77F00">
        <w:t xml:space="preserve">: </w:t>
      </w:r>
      <w:r w:rsidR="00C7331F" w:rsidRPr="00B77F00">
        <w:rPr>
          <w:i/>
        </w:rPr>
        <w:t>Learning resources and educational support</w:t>
      </w:r>
    </w:p>
    <w:p w14:paraId="080CBC56" w14:textId="2020814F" w:rsidR="00772E72" w:rsidRPr="00B77F00" w:rsidRDefault="00B759C1" w:rsidP="00AE1FDB">
      <w:pPr>
        <w:rPr>
          <w:rStyle w:val="SubtleEmphasis"/>
        </w:rPr>
      </w:pPr>
      <w:r w:rsidRPr="00B77F00">
        <w:rPr>
          <w:rStyle w:val="SubtleEmphasis"/>
          <w:highlight w:val="yellow"/>
        </w:rPr>
        <w:t xml:space="preserve">Version </w:t>
      </w:r>
      <w:r w:rsidR="0046324D" w:rsidRPr="00B77F00">
        <w:rPr>
          <w:rStyle w:val="SubtleEmphasis"/>
          <w:highlight w:val="yellow"/>
        </w:rPr>
        <w:t>1</w:t>
      </w:r>
      <w:r w:rsidRPr="00B77F00">
        <w:rPr>
          <w:rStyle w:val="SubtleEmphasis"/>
          <w:highlight w:val="yellow"/>
        </w:rPr>
        <w:t>.</w:t>
      </w:r>
      <w:r w:rsidR="0046324D" w:rsidRPr="00B77F00">
        <w:rPr>
          <w:rStyle w:val="SubtleEmphasis"/>
          <w:highlight w:val="yellow"/>
        </w:rPr>
        <w:t>0</w:t>
      </w:r>
      <w:r w:rsidR="003C0410" w:rsidRPr="00B77F00">
        <w:rPr>
          <w:rStyle w:val="SubtleEmphasis"/>
          <w:highlight w:val="yellow"/>
        </w:rPr>
        <w:t xml:space="preserve"> </w:t>
      </w:r>
      <w:r w:rsidRPr="00B77F00">
        <w:rPr>
          <w:rStyle w:val="SubtleEmphasis"/>
          <w:highlight w:val="yellow"/>
        </w:rPr>
        <w:t>(</w:t>
      </w:r>
      <w:r w:rsidR="0046324D" w:rsidRPr="00B77F00">
        <w:rPr>
          <w:rStyle w:val="SubtleEmphasis"/>
          <w:highlight w:val="yellow"/>
        </w:rPr>
        <w:t>7</w:t>
      </w:r>
      <w:r w:rsidR="00ED2C0D" w:rsidRPr="00B77F00">
        <w:rPr>
          <w:rStyle w:val="SubtleEmphasis"/>
          <w:highlight w:val="yellow"/>
        </w:rPr>
        <w:t xml:space="preserve"> </w:t>
      </w:r>
      <w:r w:rsidR="0046324D" w:rsidRPr="00B77F00">
        <w:rPr>
          <w:rStyle w:val="SubtleEmphasis"/>
          <w:highlight w:val="yellow"/>
        </w:rPr>
        <w:t>09</w:t>
      </w:r>
      <w:r w:rsidR="003C0410" w:rsidRPr="00B77F00">
        <w:rPr>
          <w:rStyle w:val="SubtleEmphasis"/>
          <w:highlight w:val="yellow"/>
        </w:rPr>
        <w:t xml:space="preserve"> 202</w:t>
      </w:r>
      <w:r w:rsidR="0046324D" w:rsidRPr="00B77F00">
        <w:rPr>
          <w:rStyle w:val="SubtleEmphasis"/>
          <w:highlight w:val="yellow"/>
        </w:rPr>
        <w:t>2</w:t>
      </w:r>
      <w:r w:rsidRPr="00B77F00">
        <w:rPr>
          <w:rStyle w:val="SubtleEmphasis"/>
          <w:highlight w:val="yellow"/>
        </w:rPr>
        <w:t>)</w:t>
      </w:r>
    </w:p>
    <w:tbl>
      <w:tblPr>
        <w:tblStyle w:val="TableGrid"/>
        <w:tblW w:w="0" w:type="auto"/>
        <w:tblLook w:val="04A0" w:firstRow="1" w:lastRow="0" w:firstColumn="1" w:lastColumn="0" w:noHBand="0" w:noVBand="1"/>
      </w:tblPr>
      <w:tblGrid>
        <w:gridCol w:w="9016"/>
      </w:tblGrid>
      <w:tr w:rsidR="00C1204D" w:rsidRPr="00B77F00" w14:paraId="39677D1B" w14:textId="77777777" w:rsidTr="00FC0A4F">
        <w:trPr>
          <w:trHeight w:val="988"/>
        </w:trPr>
        <w:tc>
          <w:tcPr>
            <w:tcW w:w="9016" w:type="dxa"/>
            <w:shd w:val="clear" w:color="auto" w:fill="004D7D"/>
          </w:tcPr>
          <w:p w14:paraId="1FAC8B44" w14:textId="77777777" w:rsidR="00C1204D" w:rsidRPr="00B77F00" w:rsidRDefault="00C1204D" w:rsidP="00FC0A4F">
            <w:pPr>
              <w:rPr>
                <w:rStyle w:val="SubtleEmphasis"/>
              </w:rPr>
            </w:pPr>
            <w:r w:rsidRPr="00B77F00">
              <w:rPr>
                <w:rStyle w:val="SubtleEmphasis"/>
                <w:color w:val="auto"/>
              </w:rPr>
              <w:t>Providers should note that Guidance Notes are intended to provide guidance only. The definitive instruments for regulatory purposes remain the TEQSA Act and the Higher Education Standards Framework as amended from time to time.</w:t>
            </w:r>
          </w:p>
        </w:tc>
      </w:tr>
    </w:tbl>
    <w:p w14:paraId="0B66C110" w14:textId="212732E2" w:rsidR="00B759C1" w:rsidRPr="00B77F00" w:rsidRDefault="00B759C1" w:rsidP="009B41F4">
      <w:pPr>
        <w:pStyle w:val="Heading2"/>
        <w:numPr>
          <w:ilvl w:val="0"/>
          <w:numId w:val="14"/>
        </w:numPr>
      </w:pPr>
      <w:r w:rsidRPr="00B77F00">
        <w:t xml:space="preserve">What do </w:t>
      </w:r>
      <w:r w:rsidR="00BC0704">
        <w:t>L</w:t>
      </w:r>
      <w:r w:rsidR="00FD2FF7" w:rsidRPr="00B77F00">
        <w:t xml:space="preserve">earning </w:t>
      </w:r>
      <w:r w:rsidR="00BC0704">
        <w:t>R</w:t>
      </w:r>
      <w:r w:rsidR="00FD2FF7" w:rsidRPr="00B77F00">
        <w:t xml:space="preserve">esources and </w:t>
      </w:r>
      <w:r w:rsidR="00BC0704">
        <w:t>E</w:t>
      </w:r>
      <w:r w:rsidR="00FD2FF7" w:rsidRPr="00B77F00">
        <w:t xml:space="preserve">ducational </w:t>
      </w:r>
      <w:r w:rsidR="00CE70E4">
        <w:t>S</w:t>
      </w:r>
      <w:r w:rsidR="00FD2FF7" w:rsidRPr="00B77F00">
        <w:t>upport</w:t>
      </w:r>
      <w:r w:rsidRPr="00B77F00">
        <w:t xml:space="preserve"> encompass?</w:t>
      </w:r>
    </w:p>
    <w:p w14:paraId="1AAAB2F4" w14:textId="1815A2D6" w:rsidR="00721180" w:rsidRDefault="00B759C1" w:rsidP="00EC5DD6">
      <w:r w:rsidRPr="00B77F00">
        <w:t xml:space="preserve">In the context of the </w:t>
      </w:r>
      <w:hyperlink r:id="rId11" w:history="1">
        <w:r w:rsidRPr="000510C3">
          <w:rPr>
            <w:rStyle w:val="Hyperlink"/>
            <w:i/>
          </w:rPr>
          <w:t>Higher Education Standards Framework (Threshold Standards) 20</w:t>
        </w:r>
        <w:r w:rsidR="00513E63" w:rsidRPr="000510C3">
          <w:rPr>
            <w:rStyle w:val="Hyperlink"/>
            <w:i/>
          </w:rPr>
          <w:t>21</w:t>
        </w:r>
      </w:hyperlink>
      <w:r w:rsidRPr="00B77F00">
        <w:rPr>
          <w:i/>
        </w:rPr>
        <w:t xml:space="preserve"> </w:t>
      </w:r>
      <w:r w:rsidRPr="00B77F00">
        <w:t>(</w:t>
      </w:r>
      <w:r w:rsidR="003E0C23">
        <w:t>Threshold Standards</w:t>
      </w:r>
      <w:r w:rsidR="00415400" w:rsidRPr="00B77F00">
        <w:t>)</w:t>
      </w:r>
      <w:r w:rsidR="00567991">
        <w:t>,</w:t>
      </w:r>
      <w:r w:rsidR="00415400" w:rsidRPr="00B77F00">
        <w:t xml:space="preserve"> the sections on</w:t>
      </w:r>
      <w:r w:rsidR="00721180">
        <w:t>:</w:t>
      </w:r>
    </w:p>
    <w:p w14:paraId="2FACC475" w14:textId="54C204D7" w:rsidR="00721180" w:rsidRDefault="00721180" w:rsidP="00EB6ACC">
      <w:pPr>
        <w:pStyle w:val="Bullet1"/>
      </w:pPr>
      <w:r>
        <w:t>l</w:t>
      </w:r>
      <w:r w:rsidR="00415400" w:rsidRPr="00B77F00">
        <w:t xml:space="preserve">earning </w:t>
      </w:r>
      <w:r>
        <w:t>r</w:t>
      </w:r>
      <w:r w:rsidR="00415400" w:rsidRPr="00B77F00">
        <w:t>esources</w:t>
      </w:r>
      <w:r>
        <w:t xml:space="preserve"> refer to</w:t>
      </w:r>
      <w:r w:rsidR="002B23FE">
        <w:t xml:space="preserve"> the</w:t>
      </w:r>
      <w:r>
        <w:t xml:space="preserve"> </w:t>
      </w:r>
      <w:r w:rsidRPr="00B77F00">
        <w:t xml:space="preserve">academic resources made available for </w:t>
      </w:r>
      <w:r w:rsidR="002B23FE">
        <w:t>a</w:t>
      </w:r>
      <w:r>
        <w:t xml:space="preserve"> </w:t>
      </w:r>
      <w:r w:rsidRPr="00B77F00">
        <w:t>course of study</w:t>
      </w:r>
      <w:r>
        <w:t xml:space="preserve"> </w:t>
      </w:r>
    </w:p>
    <w:p w14:paraId="3197CC9E" w14:textId="53E7EE3E" w:rsidR="00CE70E4" w:rsidRDefault="00721180" w:rsidP="00EB6ACC">
      <w:pPr>
        <w:pStyle w:val="Bullet1"/>
      </w:pPr>
      <w:r>
        <w:t>e</w:t>
      </w:r>
      <w:r w:rsidR="00415400" w:rsidRPr="00B77F00">
        <w:t xml:space="preserve">ducational </w:t>
      </w:r>
      <w:r>
        <w:t>s</w:t>
      </w:r>
      <w:r w:rsidR="00415400" w:rsidRPr="00B77F00">
        <w:t xml:space="preserve">upport </w:t>
      </w:r>
      <w:r w:rsidR="00EA5416">
        <w:t>refer</w:t>
      </w:r>
      <w:r w:rsidR="008C05BC">
        <w:t>s</w:t>
      </w:r>
      <w:r>
        <w:t xml:space="preserve"> to </w:t>
      </w:r>
      <w:r w:rsidR="00CE70E4">
        <w:t xml:space="preserve">support a provider gives students to develop their capacity for independent learning and inquiry. </w:t>
      </w:r>
      <w:r w:rsidR="00415400" w:rsidRPr="00B77F00">
        <w:t xml:space="preserve"> </w:t>
      </w:r>
    </w:p>
    <w:p w14:paraId="69D10853" w14:textId="396467B9" w:rsidR="00BC0704" w:rsidRDefault="00B40898" w:rsidP="00EC5DD6">
      <w:r>
        <w:t xml:space="preserve">The primary obligations </w:t>
      </w:r>
      <w:r w:rsidR="006542C4">
        <w:t xml:space="preserve">related to </w:t>
      </w:r>
      <w:r w:rsidR="000F0BC3">
        <w:t>learning resources and education</w:t>
      </w:r>
      <w:r w:rsidR="00187BCE">
        <w:t>al</w:t>
      </w:r>
      <w:r w:rsidR="000F0BC3">
        <w:t xml:space="preserve"> support </w:t>
      </w:r>
      <w:r>
        <w:t xml:space="preserve">are found in section 3.3 of the </w:t>
      </w:r>
      <w:r w:rsidR="00A63BB6">
        <w:t>Threshold Standards</w:t>
      </w:r>
      <w:r w:rsidR="00BD2C83">
        <w:t>.</w:t>
      </w:r>
    </w:p>
    <w:p w14:paraId="7CD0AA80" w14:textId="54E9D0C7" w:rsidR="009B41F4" w:rsidRDefault="00A74DA6" w:rsidP="00EC5DD6">
      <w:r>
        <w:t xml:space="preserve">Facilities and resources that are more of a general nature and do not </w:t>
      </w:r>
      <w:r w:rsidR="00435F96">
        <w:t>form part</w:t>
      </w:r>
      <w:r w:rsidR="001C7FD2">
        <w:t xml:space="preserve"> of</w:t>
      </w:r>
      <w:r>
        <w:t xml:space="preserve"> a particular course of study are covered in other parts of the </w:t>
      </w:r>
      <w:r w:rsidR="00A63BB6">
        <w:t>Threshold Standards</w:t>
      </w:r>
      <w:r w:rsidR="009B41F4">
        <w:t>:</w:t>
      </w:r>
    </w:p>
    <w:p w14:paraId="0AC2D588" w14:textId="54B935EC" w:rsidR="009B41F4" w:rsidRDefault="00A74DA6" w:rsidP="000722AE">
      <w:pPr>
        <w:pStyle w:val="Bullet1"/>
      </w:pPr>
      <w:r>
        <w:t xml:space="preserve">Facilities and Infrastructure </w:t>
      </w:r>
      <w:r w:rsidR="009B41F4">
        <w:t>(</w:t>
      </w:r>
      <w:r>
        <w:t>section 2.1</w:t>
      </w:r>
      <w:r w:rsidR="009B41F4">
        <w:t>)</w:t>
      </w:r>
      <w:r w:rsidR="00FD3B42">
        <w:t xml:space="preserve"> </w:t>
      </w:r>
      <w:r w:rsidR="00431A7A">
        <w:t>[</w:t>
      </w:r>
      <w:r w:rsidR="00431A7A" w:rsidRPr="007F39AB">
        <w:rPr>
          <w:highlight w:val="yellow"/>
        </w:rPr>
        <w:t>hyperlink forthcoming</w:t>
      </w:r>
      <w:r w:rsidR="00431A7A">
        <w:t>]</w:t>
      </w:r>
    </w:p>
    <w:p w14:paraId="3CAD879D" w14:textId="07D23147" w:rsidR="003067F1" w:rsidRDefault="009B41F4" w:rsidP="000722AE">
      <w:pPr>
        <w:pStyle w:val="Bullet1"/>
      </w:pPr>
      <w:r>
        <w:t>W</w:t>
      </w:r>
      <w:r w:rsidR="00A74DA6">
        <w:t xml:space="preserve">ellbeing and Safety </w:t>
      </w:r>
      <w:r>
        <w:t>(</w:t>
      </w:r>
      <w:r w:rsidR="00A74DA6">
        <w:t>section 2.3</w:t>
      </w:r>
      <w:r>
        <w:t>)</w:t>
      </w:r>
      <w:r w:rsidR="00FD3B42">
        <w:t xml:space="preserve"> </w:t>
      </w:r>
      <w:r w:rsidR="00431A7A">
        <w:t>[</w:t>
      </w:r>
      <w:r w:rsidR="00431A7A" w:rsidRPr="007F39AB">
        <w:rPr>
          <w:highlight w:val="yellow"/>
        </w:rPr>
        <w:t>hyperlink forthcoming</w:t>
      </w:r>
      <w:r w:rsidR="00431A7A">
        <w:t>]</w:t>
      </w:r>
    </w:p>
    <w:p w14:paraId="5BA5B5A7" w14:textId="0A87EB0A" w:rsidR="00043EEF" w:rsidRDefault="003067F1" w:rsidP="000722AE">
      <w:pPr>
        <w:pStyle w:val="Bullet1"/>
      </w:pPr>
      <w:r>
        <w:t>Staffing (section 3.2)</w:t>
      </w:r>
      <w:r w:rsidR="00A74DA6">
        <w:t>.</w:t>
      </w:r>
      <w:r w:rsidR="00FD3B42" w:rsidRPr="00FD3B42">
        <w:t xml:space="preserve"> </w:t>
      </w:r>
      <w:r w:rsidR="00431A7A">
        <w:t>[</w:t>
      </w:r>
      <w:r w:rsidR="00431A7A" w:rsidRPr="007F39AB">
        <w:rPr>
          <w:highlight w:val="yellow"/>
        </w:rPr>
        <w:t>hyperlink forthcoming</w:t>
      </w:r>
      <w:r w:rsidR="00431A7A">
        <w:t>]</w:t>
      </w:r>
    </w:p>
    <w:p w14:paraId="540A0042" w14:textId="614AA41B" w:rsidR="00A74DA6" w:rsidRDefault="00A74DA6" w:rsidP="00EC5DD6">
      <w:pPr>
        <w:rPr>
          <w:b/>
          <w:bCs/>
        </w:rPr>
      </w:pPr>
      <w:r>
        <w:t xml:space="preserve">Learning resources and educational support </w:t>
      </w:r>
      <w:r w:rsidR="00043EEF">
        <w:t>for</w:t>
      </w:r>
      <w:r>
        <w:t xml:space="preserve"> research </w:t>
      </w:r>
      <w:r w:rsidR="00151763">
        <w:t xml:space="preserve">training </w:t>
      </w:r>
      <w:r>
        <w:t xml:space="preserve">fall within section 4.2 </w:t>
      </w:r>
      <w:r w:rsidR="00BD185B">
        <w:t xml:space="preserve">of the </w:t>
      </w:r>
      <w:r w:rsidR="00A63BB6">
        <w:t>Threshold Standards</w:t>
      </w:r>
      <w:r w:rsidR="00BD185B">
        <w:t xml:space="preserve"> </w:t>
      </w:r>
      <w:r>
        <w:t xml:space="preserve">and </w:t>
      </w:r>
      <w:r w:rsidR="006809D9">
        <w:t>are</w:t>
      </w:r>
      <w:r>
        <w:t xml:space="preserve"> not considered</w:t>
      </w:r>
      <w:r w:rsidR="00AB6C5C">
        <w:t xml:space="preserve"> as</w:t>
      </w:r>
      <w:r>
        <w:t xml:space="preserve"> part of this guidance note.</w:t>
      </w:r>
    </w:p>
    <w:p w14:paraId="2D96C829" w14:textId="73B6D285" w:rsidR="00CE70E4" w:rsidRDefault="00CE70E4" w:rsidP="00CE70E4">
      <w:pPr>
        <w:pStyle w:val="Heading3"/>
      </w:pPr>
      <w:r>
        <w:t>Learning Resources</w:t>
      </w:r>
    </w:p>
    <w:p w14:paraId="188E7F91" w14:textId="098AE6B6" w:rsidR="00CE70E4" w:rsidRPr="00B77F00" w:rsidRDefault="00CE70E4" w:rsidP="00CE70E4">
      <w:r w:rsidRPr="00B77F00">
        <w:t xml:space="preserve">The </w:t>
      </w:r>
      <w:r w:rsidR="00A63BB6">
        <w:t>Threshold Standards</w:t>
      </w:r>
      <w:r w:rsidRPr="00B77F00">
        <w:t xml:space="preserve"> </w:t>
      </w:r>
      <w:r>
        <w:t xml:space="preserve">require a provider </w:t>
      </w:r>
      <w:r w:rsidR="006821C8">
        <w:t xml:space="preserve">to </w:t>
      </w:r>
      <w:r w:rsidRPr="00B77F00">
        <w:t>ensure students:</w:t>
      </w:r>
    </w:p>
    <w:p w14:paraId="2DC09BDE" w14:textId="531B87E1" w:rsidR="00CE70E4" w:rsidRDefault="00CE70E4" w:rsidP="00B422EC">
      <w:pPr>
        <w:pStyle w:val="Bullet1"/>
      </w:pPr>
      <w:r w:rsidRPr="00B77F00">
        <w:t>have access to learning resources</w:t>
      </w:r>
      <w:r w:rsidR="006821C8">
        <w:t xml:space="preserve"> that</w:t>
      </w:r>
      <w:r w:rsidRPr="00B77F00">
        <w:t xml:space="preserve"> are</w:t>
      </w:r>
      <w:r w:rsidR="00187BCE">
        <w:t xml:space="preserve"> up to date and</w:t>
      </w:r>
      <w:r>
        <w:t xml:space="preserve"> directly</w:t>
      </w:r>
      <w:r w:rsidRPr="00B77F00">
        <w:t xml:space="preserve"> </w:t>
      </w:r>
      <w:r>
        <w:t xml:space="preserve">relevant </w:t>
      </w:r>
      <w:r w:rsidR="00521240">
        <w:t xml:space="preserve">to the course of study </w:t>
      </w:r>
    </w:p>
    <w:p w14:paraId="159E75DD" w14:textId="30F86A25" w:rsidR="00CE70E4" w:rsidRDefault="006821C8" w:rsidP="00B422EC">
      <w:pPr>
        <w:pStyle w:val="Bullet1"/>
      </w:pPr>
      <w:r>
        <w:t xml:space="preserve">receive timely training </w:t>
      </w:r>
      <w:r w:rsidR="00721180">
        <w:t>if learning resources are delivered over a learning management system (online)</w:t>
      </w:r>
    </w:p>
    <w:p w14:paraId="1EE2E3D8" w14:textId="44ACA5B2" w:rsidR="00521240" w:rsidRDefault="00CE70E4" w:rsidP="00B422EC">
      <w:pPr>
        <w:pStyle w:val="Bullet1"/>
      </w:pPr>
      <w:r>
        <w:t>are not subjected to unexpected barriers</w:t>
      </w:r>
      <w:r w:rsidR="00016015">
        <w:t>,</w:t>
      </w:r>
      <w:r>
        <w:t xml:space="preserve"> such as the cost of technolog</w:t>
      </w:r>
      <w:r w:rsidR="006821C8">
        <w:t>ical</w:t>
      </w:r>
      <w:r>
        <w:t xml:space="preserve"> requirements when </w:t>
      </w:r>
      <w:r w:rsidR="006821C8">
        <w:t xml:space="preserve">needing to </w:t>
      </w:r>
      <w:r>
        <w:t>access</w:t>
      </w:r>
      <w:r w:rsidR="006821C8">
        <w:t xml:space="preserve"> required</w:t>
      </w:r>
      <w:r>
        <w:t xml:space="preserve"> resources. </w:t>
      </w:r>
    </w:p>
    <w:p w14:paraId="3B35A8C4" w14:textId="77777777" w:rsidR="00990937" w:rsidRDefault="001F091D" w:rsidP="00EC5DD6">
      <w:r>
        <w:t xml:space="preserve">When assessing learning resources, TEQSA </w:t>
      </w:r>
      <w:r w:rsidR="0064398D">
        <w:t>will consider</w:t>
      </w:r>
      <w:r w:rsidR="00990937">
        <w:t>:</w:t>
      </w:r>
      <w:r w:rsidR="0064398D">
        <w:t xml:space="preserve"> </w:t>
      </w:r>
    </w:p>
    <w:p w14:paraId="2F7A1AE0" w14:textId="066FC568" w:rsidR="00990937" w:rsidRDefault="0064398D" w:rsidP="00B422EC">
      <w:pPr>
        <w:pStyle w:val="Bullet1"/>
      </w:pPr>
      <w:r>
        <w:t>the educational materials</w:t>
      </w:r>
      <w:r w:rsidR="00F84110">
        <w:t xml:space="preserve"> </w:t>
      </w:r>
    </w:p>
    <w:p w14:paraId="31B90F15" w14:textId="5ED6259B" w:rsidR="00990937" w:rsidRDefault="00211884" w:rsidP="00B422EC">
      <w:pPr>
        <w:pStyle w:val="Bullet1"/>
      </w:pPr>
      <w:r>
        <w:t xml:space="preserve">their </w:t>
      </w:r>
      <w:r w:rsidR="0064398D">
        <w:t>availability</w:t>
      </w:r>
      <w:r w:rsidR="00560799">
        <w:t>/accessibility</w:t>
      </w:r>
      <w:r w:rsidR="006821C8">
        <w:t>, and</w:t>
      </w:r>
    </w:p>
    <w:p w14:paraId="56CFF8BD" w14:textId="773A0A91" w:rsidR="00560799" w:rsidRDefault="00211884" w:rsidP="00B422EC">
      <w:pPr>
        <w:pStyle w:val="Bullet1"/>
      </w:pPr>
      <w:r>
        <w:t xml:space="preserve">their </w:t>
      </w:r>
      <w:r w:rsidR="00560799">
        <w:t>quality.</w:t>
      </w:r>
    </w:p>
    <w:p w14:paraId="5F9952D6" w14:textId="17D6DFA2" w:rsidR="003E7B6E" w:rsidRDefault="000722AE" w:rsidP="00EC5DD6">
      <w:r>
        <w:lastRenderedPageBreak/>
        <w:t>The</w:t>
      </w:r>
      <w:r w:rsidR="00422C96">
        <w:t xml:space="preserve"> </w:t>
      </w:r>
      <w:r w:rsidR="00A63BB6">
        <w:t>Threshold Standards</w:t>
      </w:r>
      <w:r w:rsidR="00422C96">
        <w:t xml:space="preserve"> do not </w:t>
      </w:r>
      <w:r w:rsidR="00AB285D">
        <w:t>dictate</w:t>
      </w:r>
      <w:r w:rsidR="00422C96">
        <w:t xml:space="preserve"> the form learning resources take (they</w:t>
      </w:r>
      <w:r w:rsidR="00600293">
        <w:t xml:space="preserve"> can include</w:t>
      </w:r>
      <w:r w:rsidR="00422C96">
        <w:t xml:space="preserve"> physical books, journals, or online databases). However, a provider must ensure learning resources </w:t>
      </w:r>
      <w:r w:rsidR="00151763">
        <w:t>are</w:t>
      </w:r>
      <w:r w:rsidR="003E7B6E">
        <w:t>:</w:t>
      </w:r>
      <w:r w:rsidR="00151763">
        <w:t xml:space="preserve"> </w:t>
      </w:r>
    </w:p>
    <w:p w14:paraId="6DBE56D6" w14:textId="150602D8" w:rsidR="00151763" w:rsidRDefault="00151763" w:rsidP="003E7B6E">
      <w:pPr>
        <w:pStyle w:val="Bullet1"/>
      </w:pPr>
      <w:r>
        <w:t>in a form that is accessible to all students,</w:t>
      </w:r>
      <w:r w:rsidR="005B59A9">
        <w:t xml:space="preserve"> including those with a disability,</w:t>
      </w:r>
      <w:r>
        <w:t xml:space="preserve"> regardless of the mode of study (e.g. online only) </w:t>
      </w:r>
    </w:p>
    <w:p w14:paraId="0CFB202F" w14:textId="697177D5" w:rsidR="00CD55F8" w:rsidRDefault="00190C37" w:rsidP="00057743">
      <w:pPr>
        <w:pStyle w:val="Bullet1"/>
      </w:pPr>
      <w:r>
        <w:t xml:space="preserve">appropriate for </w:t>
      </w:r>
      <w:r w:rsidR="00CD55F8">
        <w:t xml:space="preserve">the </w:t>
      </w:r>
      <w:r w:rsidR="00CD55F8" w:rsidRPr="00CD55F8">
        <w:t xml:space="preserve">level of qualification </w:t>
      </w:r>
      <w:r w:rsidR="00CD55F8">
        <w:t>under</w:t>
      </w:r>
      <w:r w:rsidR="00CD55F8" w:rsidRPr="00CD55F8">
        <w:t xml:space="preserve"> the Australian Qualifications Framework (AQF)</w:t>
      </w:r>
    </w:p>
    <w:p w14:paraId="631CE4D9" w14:textId="58032DA6" w:rsidR="00190C37" w:rsidRDefault="00917539" w:rsidP="00057743">
      <w:pPr>
        <w:pStyle w:val="Bullet1"/>
      </w:pPr>
      <w:r>
        <w:t>relevant and up to date</w:t>
      </w:r>
      <w:r w:rsidR="00190C37">
        <w:t xml:space="preserve">. </w:t>
      </w:r>
    </w:p>
    <w:p w14:paraId="7A96F3A8" w14:textId="1F8AA11C" w:rsidR="00990937" w:rsidRDefault="00990937" w:rsidP="00EC5DD6">
      <w:r>
        <w:t xml:space="preserve">The </w:t>
      </w:r>
      <w:r w:rsidR="004E2B07">
        <w:t xml:space="preserve">Threshold Standards </w:t>
      </w:r>
      <w:r>
        <w:t>do not explicitly state a provider needs to have a physical library and physical learning materials. However, there is an expectation that providers will ensure its students are able to readily access materials</w:t>
      </w:r>
      <w:r w:rsidR="007730B5">
        <w:t xml:space="preserve"> and resources</w:t>
      </w:r>
      <w:r>
        <w:t xml:space="preserve"> referred to </w:t>
      </w:r>
      <w:r w:rsidR="00AB199C">
        <w:t>in their course of study</w:t>
      </w:r>
      <w:r w:rsidR="00CF6080">
        <w:rPr>
          <w:rStyle w:val="FootnoteReference"/>
        </w:rPr>
        <w:footnoteReference w:id="2"/>
      </w:r>
      <w:r>
        <w:t xml:space="preserve">. </w:t>
      </w:r>
      <w:r w:rsidR="00A633E7" w:rsidRPr="008E75DD">
        <w:t>TEQSA will not accept a model where a provider makes no learning resources available and refers its students to a public library</w:t>
      </w:r>
      <w:r w:rsidR="00DC26F4">
        <w:t>, or similar</w:t>
      </w:r>
      <w:r w:rsidR="00A633E7" w:rsidRPr="008E75DD">
        <w:t>.</w:t>
      </w:r>
    </w:p>
    <w:p w14:paraId="298DF251" w14:textId="24537814" w:rsidR="00130EBC" w:rsidRDefault="00600293" w:rsidP="00EC5DD6">
      <w:r>
        <w:t xml:space="preserve">When assessing the </w:t>
      </w:r>
      <w:r w:rsidR="0054595C">
        <w:t>quality of learning resources</w:t>
      </w:r>
      <w:r>
        <w:t>, TEQSA</w:t>
      </w:r>
      <w:r w:rsidR="0054595C">
        <w:t xml:space="preserve"> may </w:t>
      </w:r>
      <w:r>
        <w:t>engage the</w:t>
      </w:r>
      <w:r w:rsidR="0054595C">
        <w:t xml:space="preserve"> assistance of an external subject matter expert.</w:t>
      </w:r>
      <w:r>
        <w:t xml:space="preserve"> </w:t>
      </w:r>
      <w:r w:rsidR="00AB199C">
        <w:t>Information regarding l</w:t>
      </w:r>
      <w:r>
        <w:t>earning</w:t>
      </w:r>
      <w:r w:rsidR="0054595C">
        <w:t xml:space="preserve"> resources will need to be </w:t>
      </w:r>
      <w:r w:rsidR="00F84110">
        <w:t xml:space="preserve">of </w:t>
      </w:r>
      <w:r w:rsidR="0054595C">
        <w:t>sufficient</w:t>
      </w:r>
      <w:r w:rsidR="00F84110">
        <w:t xml:space="preserve"> detail</w:t>
      </w:r>
      <w:r w:rsidR="0054595C">
        <w:t xml:space="preserve"> for the expert to form a view on their quality and </w:t>
      </w:r>
      <w:r w:rsidR="006844A4">
        <w:t>appropriateness</w:t>
      </w:r>
      <w:r w:rsidR="0054595C">
        <w:t xml:space="preserve"> for the course of study.</w:t>
      </w:r>
      <w:r w:rsidR="00211884">
        <w:t xml:space="preserve"> </w:t>
      </w:r>
    </w:p>
    <w:p w14:paraId="0FCFB051" w14:textId="3B186796" w:rsidR="00F549E7" w:rsidRDefault="00F549E7" w:rsidP="00EC5DD6">
      <w:r>
        <w:t xml:space="preserve">If a provider seeks to have the provision of learning resources dealt with by other parties (see also </w:t>
      </w:r>
      <w:r w:rsidRPr="007F39AB">
        <w:t>Guidance Note: Delivery with Other Parties</w:t>
      </w:r>
      <w:r w:rsidR="007F39AB">
        <w:t xml:space="preserve"> </w:t>
      </w:r>
      <w:r w:rsidR="00431A7A">
        <w:t>[</w:t>
      </w:r>
      <w:r w:rsidR="00431A7A" w:rsidRPr="007F39AB">
        <w:rPr>
          <w:highlight w:val="yellow"/>
        </w:rPr>
        <w:t>hyperlink forthcoming</w:t>
      </w:r>
      <w:r w:rsidR="00431A7A">
        <w:t>]</w:t>
      </w:r>
      <w:r>
        <w:t>) it must be able to demonstrate:</w:t>
      </w:r>
    </w:p>
    <w:p w14:paraId="3D445CD6" w14:textId="5AB8AE5D" w:rsidR="00F549E7" w:rsidRDefault="00F549E7" w:rsidP="00F549E7">
      <w:pPr>
        <w:pStyle w:val="Bullet1"/>
      </w:pPr>
      <w:r>
        <w:t>the arrangement with the other party is part of a formal agreement</w:t>
      </w:r>
    </w:p>
    <w:p w14:paraId="564ED066" w14:textId="7615BBBC" w:rsidR="00F549E7" w:rsidRDefault="00F549E7" w:rsidP="00F549E7">
      <w:pPr>
        <w:pStyle w:val="Bullet1"/>
      </w:pPr>
      <w:r>
        <w:t>delivering the resources in this way is practical for students and does not create unreasonable barriers to access.</w:t>
      </w:r>
    </w:p>
    <w:p w14:paraId="104FD90E" w14:textId="1073CCC8" w:rsidR="00CE70E4" w:rsidRDefault="00CE70E4" w:rsidP="00CE70E4">
      <w:pPr>
        <w:pStyle w:val="Heading3"/>
      </w:pPr>
      <w:r>
        <w:t>Educational Support</w:t>
      </w:r>
    </w:p>
    <w:p w14:paraId="4583C4D6" w14:textId="113ADABE" w:rsidR="003420E0" w:rsidRPr="003420E0" w:rsidRDefault="003420E0" w:rsidP="003420E0">
      <w:r w:rsidRPr="003420E0">
        <w:t xml:space="preserve">In general, TEQSA </w:t>
      </w:r>
      <w:r w:rsidR="00945ADE">
        <w:t>will expect</w:t>
      </w:r>
      <w:r w:rsidRPr="003420E0">
        <w:t xml:space="preserve"> providers to </w:t>
      </w:r>
      <w:r w:rsidR="00D3070F">
        <w:t xml:space="preserve">give students </w:t>
      </w:r>
      <w:r w:rsidRPr="003420E0">
        <w:t xml:space="preserve">the educational support necessary to allow </w:t>
      </w:r>
      <w:r w:rsidR="00945ADE">
        <w:t>them</w:t>
      </w:r>
      <w:r w:rsidRPr="003420E0">
        <w:t xml:space="preserve"> to develop their capacity for independent learning and inquiry.</w:t>
      </w:r>
    </w:p>
    <w:p w14:paraId="7C5CCE62" w14:textId="2B9FDDEB" w:rsidR="00544476" w:rsidRPr="00544476" w:rsidRDefault="003420E0" w:rsidP="00544476">
      <w:r>
        <w:t xml:space="preserve">TEQSA </w:t>
      </w:r>
      <w:r w:rsidR="00945ADE">
        <w:t>will expect</w:t>
      </w:r>
      <w:r w:rsidR="009619A2">
        <w:t xml:space="preserve"> providers to</w:t>
      </w:r>
      <w:r w:rsidR="00176341">
        <w:t>:</w:t>
      </w:r>
      <w:r w:rsidR="009619A2">
        <w:t xml:space="preserve"> </w:t>
      </w:r>
    </w:p>
    <w:p w14:paraId="551E8195" w14:textId="3D3CCF27" w:rsidR="000A232D" w:rsidRDefault="000A232D" w:rsidP="00B422EC">
      <w:pPr>
        <w:pStyle w:val="Bullet1"/>
      </w:pPr>
      <w:r>
        <w:t xml:space="preserve">have </w:t>
      </w:r>
      <w:r w:rsidR="009D0D7C">
        <w:t xml:space="preserve">educational </w:t>
      </w:r>
      <w:r>
        <w:t>support services</w:t>
      </w:r>
      <w:r w:rsidR="00176341">
        <w:t xml:space="preserve"> available to its students</w:t>
      </w:r>
      <w:r>
        <w:t xml:space="preserve"> consistent with their course of study</w:t>
      </w:r>
    </w:p>
    <w:p w14:paraId="32956D0F" w14:textId="4DCE93BA" w:rsidR="00544476" w:rsidRDefault="00544476" w:rsidP="00B422EC">
      <w:pPr>
        <w:pStyle w:val="Bullet1"/>
      </w:pPr>
      <w:r>
        <w:t xml:space="preserve">have qualified staff that can help </w:t>
      </w:r>
      <w:r w:rsidR="000539AB">
        <w:t>students</w:t>
      </w:r>
      <w:r>
        <w:t xml:space="preserve"> locate the information they need</w:t>
      </w:r>
    </w:p>
    <w:p w14:paraId="2AF2BFAA" w14:textId="09061BD8" w:rsidR="00544476" w:rsidRDefault="000539AB" w:rsidP="00B422EC">
      <w:pPr>
        <w:pStyle w:val="Bullet1"/>
      </w:pPr>
      <w:r>
        <w:t>give</w:t>
      </w:r>
      <w:r w:rsidR="00544476">
        <w:t xml:space="preserve"> </w:t>
      </w:r>
      <w:r>
        <w:t>training to students on how to</w:t>
      </w:r>
      <w:r w:rsidR="00544476">
        <w:t xml:space="preserve"> locat</w:t>
      </w:r>
      <w:r>
        <w:t xml:space="preserve">e </w:t>
      </w:r>
      <w:r w:rsidR="0021369E">
        <w:t xml:space="preserve">and </w:t>
      </w:r>
      <w:r w:rsidR="00211884">
        <w:t xml:space="preserve">use </w:t>
      </w:r>
      <w:r w:rsidR="00567991">
        <w:t xml:space="preserve">resources </w:t>
      </w:r>
      <w:r>
        <w:t>relevant to their course of study</w:t>
      </w:r>
    </w:p>
    <w:p w14:paraId="6F6DF087" w14:textId="64676F35" w:rsidR="003420E0" w:rsidRDefault="000539AB" w:rsidP="00B422EC">
      <w:pPr>
        <w:pStyle w:val="Bullet1"/>
      </w:pPr>
      <w:r>
        <w:t xml:space="preserve">have support </w:t>
      </w:r>
      <w:r w:rsidR="00ED6851">
        <w:t>services</w:t>
      </w:r>
      <w:r>
        <w:t xml:space="preserve"> for students who are at risk (or potentially at risk) of not making progress with their studies</w:t>
      </w:r>
      <w:r w:rsidR="004942ED">
        <w:t>.</w:t>
      </w:r>
    </w:p>
    <w:p w14:paraId="6BF7987D" w14:textId="4786F2AD" w:rsidR="00297329" w:rsidRDefault="00297329" w:rsidP="00692348">
      <w:r>
        <w:t>Under section 3.3.4 of the Threshold Standards, providers are</w:t>
      </w:r>
      <w:r w:rsidR="00CD55F8">
        <w:t xml:space="preserve"> also</w:t>
      </w:r>
      <w:r>
        <w:t xml:space="preserve"> required to provide students with more general support services </w:t>
      </w:r>
      <w:r w:rsidR="00DB4AD9">
        <w:t>to</w:t>
      </w:r>
      <w:r>
        <w:t xml:space="preserve">: </w:t>
      </w:r>
    </w:p>
    <w:p w14:paraId="68EDFC6A" w14:textId="1F18C452" w:rsidR="004942ED" w:rsidRDefault="00211884" w:rsidP="00B422EC">
      <w:pPr>
        <w:pStyle w:val="Bullet1"/>
      </w:pPr>
      <w:r>
        <w:t>develop</w:t>
      </w:r>
      <w:r w:rsidR="004942ED">
        <w:t xml:space="preserve"> study skills </w:t>
      </w:r>
    </w:p>
    <w:p w14:paraId="3E7715C6" w14:textId="14303FBB" w:rsidR="004942ED" w:rsidRDefault="004942ED" w:rsidP="00B422EC">
      <w:pPr>
        <w:pStyle w:val="Bullet1"/>
      </w:pPr>
      <w:r>
        <w:t>develop English language proficiency</w:t>
      </w:r>
    </w:p>
    <w:p w14:paraId="6C86BD3C" w14:textId="4EF9987D" w:rsidR="00720914" w:rsidRDefault="004705F6" w:rsidP="00720914">
      <w:pPr>
        <w:pStyle w:val="Bullet1"/>
      </w:pPr>
      <w:r>
        <w:t xml:space="preserve">assist in their </w:t>
      </w:r>
      <w:r w:rsidR="006821C8">
        <w:t>transition to</w:t>
      </w:r>
      <w:r w:rsidR="004942ED">
        <w:t xml:space="preserve"> living in Australia. </w:t>
      </w:r>
    </w:p>
    <w:p w14:paraId="4643127D" w14:textId="2E7C156A" w:rsidR="00544476" w:rsidRDefault="00692348" w:rsidP="009B41F4">
      <w:pPr>
        <w:pStyle w:val="Heading2"/>
        <w:numPr>
          <w:ilvl w:val="0"/>
          <w:numId w:val="14"/>
        </w:numPr>
      </w:pPr>
      <w:r>
        <w:lastRenderedPageBreak/>
        <w:t>What TEQSA will look for</w:t>
      </w:r>
    </w:p>
    <w:p w14:paraId="1AF740B3" w14:textId="6EFDD8B2" w:rsidR="00524886" w:rsidRDefault="00FA12A3" w:rsidP="00B759C1">
      <w:r w:rsidRPr="00FA12A3">
        <w:t>TEQSA considers relevant standards from the Threshold Standards in the context of ‘</w:t>
      </w:r>
      <w:r>
        <w:t>learning resources and educational support</w:t>
      </w:r>
      <w:r w:rsidRPr="00FA12A3">
        <w:t>, among which most notably are:</w:t>
      </w:r>
      <w:r w:rsidR="00C51CEF">
        <w:t xml:space="preserve">. </w:t>
      </w:r>
    </w:p>
    <w:p w14:paraId="16FCA973" w14:textId="77777777" w:rsidR="00C51CEF" w:rsidRPr="00B77F00" w:rsidRDefault="00C51CEF" w:rsidP="00B759C1">
      <w:pPr>
        <w:rPr>
          <w:sz w:val="12"/>
          <w:szCs w:val="12"/>
          <w:highlight w:val="cyan"/>
        </w:rPr>
      </w:pPr>
    </w:p>
    <w:tbl>
      <w:tblPr>
        <w:tblStyle w:val="TableGrid"/>
        <w:tblW w:w="9067" w:type="dxa"/>
        <w:tblLook w:val="04A0" w:firstRow="1" w:lastRow="0" w:firstColumn="1" w:lastColumn="0" w:noHBand="0" w:noVBand="1"/>
      </w:tblPr>
      <w:tblGrid>
        <w:gridCol w:w="3964"/>
        <w:gridCol w:w="5103"/>
      </w:tblGrid>
      <w:tr w:rsidR="009D3138" w:rsidRPr="00B77F00" w14:paraId="0F6549F4" w14:textId="77777777" w:rsidTr="007C4501">
        <w:tc>
          <w:tcPr>
            <w:tcW w:w="3964" w:type="dxa"/>
            <w:shd w:val="clear" w:color="auto" w:fill="D9D9D9" w:themeFill="background1" w:themeFillShade="D9"/>
          </w:tcPr>
          <w:p w14:paraId="0C6B9A98" w14:textId="232DC6EA" w:rsidR="009D3138" w:rsidRPr="00CF3015" w:rsidRDefault="002866BA" w:rsidP="00B759C1">
            <w:pPr>
              <w:rPr>
                <w:b/>
                <w:bCs/>
                <w:sz w:val="20"/>
                <w:szCs w:val="20"/>
              </w:rPr>
            </w:pPr>
            <w:r w:rsidRPr="00CF3015">
              <w:rPr>
                <w:b/>
                <w:bCs/>
                <w:sz w:val="20"/>
                <w:szCs w:val="20"/>
              </w:rPr>
              <w:t xml:space="preserve">Part A: </w:t>
            </w:r>
            <w:r w:rsidR="009D3138" w:rsidRPr="00CF3015">
              <w:rPr>
                <w:b/>
                <w:bCs/>
                <w:sz w:val="20"/>
                <w:szCs w:val="20"/>
              </w:rPr>
              <w:t>Standards for HE Providers</w:t>
            </w:r>
          </w:p>
        </w:tc>
        <w:tc>
          <w:tcPr>
            <w:tcW w:w="5103" w:type="dxa"/>
            <w:shd w:val="clear" w:color="auto" w:fill="D9D9D9" w:themeFill="background1" w:themeFillShade="D9"/>
          </w:tcPr>
          <w:p w14:paraId="17167564" w14:textId="0639ED17" w:rsidR="009D3138" w:rsidRPr="00CF3015" w:rsidRDefault="00733596" w:rsidP="00B759C1">
            <w:pPr>
              <w:rPr>
                <w:b/>
                <w:bCs/>
                <w:sz w:val="20"/>
                <w:szCs w:val="20"/>
              </w:rPr>
            </w:pPr>
            <w:r w:rsidRPr="00CF3015">
              <w:rPr>
                <w:b/>
                <w:bCs/>
                <w:sz w:val="20"/>
                <w:szCs w:val="20"/>
              </w:rPr>
              <w:t>Ke</w:t>
            </w:r>
            <w:r w:rsidR="001561CC" w:rsidRPr="00CF3015">
              <w:rPr>
                <w:b/>
                <w:bCs/>
                <w:sz w:val="20"/>
                <w:szCs w:val="20"/>
              </w:rPr>
              <w:t>y considerations</w:t>
            </w:r>
          </w:p>
        </w:tc>
      </w:tr>
      <w:tr w:rsidR="009D3138" w:rsidRPr="00B77F00" w14:paraId="58DCDC15" w14:textId="77777777" w:rsidTr="007C4501">
        <w:tc>
          <w:tcPr>
            <w:tcW w:w="3964" w:type="dxa"/>
          </w:tcPr>
          <w:p w14:paraId="2D2877E2" w14:textId="408AFBCE" w:rsidR="009D3138" w:rsidRPr="00CF3015" w:rsidRDefault="00BD2C83" w:rsidP="00B759C1">
            <w:pPr>
              <w:rPr>
                <w:sz w:val="20"/>
                <w:szCs w:val="20"/>
              </w:rPr>
            </w:pPr>
            <w:r w:rsidRPr="00CF3015">
              <w:rPr>
                <w:sz w:val="20"/>
                <w:szCs w:val="20"/>
              </w:rPr>
              <w:t>1.3.</w:t>
            </w:r>
            <w:r w:rsidR="00BF6486" w:rsidRPr="00CF3015">
              <w:rPr>
                <w:sz w:val="20"/>
                <w:szCs w:val="20"/>
              </w:rPr>
              <w:t>1 and 1.3.</w:t>
            </w:r>
            <w:r w:rsidRPr="00CF3015">
              <w:rPr>
                <w:sz w:val="20"/>
                <w:szCs w:val="20"/>
              </w:rPr>
              <w:t>4</w:t>
            </w:r>
            <w:r w:rsidR="00D4783F" w:rsidRPr="00CF3015">
              <w:rPr>
                <w:sz w:val="20"/>
                <w:szCs w:val="20"/>
              </w:rPr>
              <w:t>:</w:t>
            </w:r>
            <w:r w:rsidR="00F97922" w:rsidRPr="00CF3015">
              <w:rPr>
                <w:sz w:val="20"/>
                <w:szCs w:val="20"/>
              </w:rPr>
              <w:t xml:space="preserve"> </w:t>
            </w:r>
            <w:r w:rsidR="00AB6450" w:rsidRPr="00CF3015">
              <w:rPr>
                <w:sz w:val="20"/>
                <w:szCs w:val="20"/>
              </w:rPr>
              <w:t>Orientation and Progression</w:t>
            </w:r>
          </w:p>
        </w:tc>
        <w:tc>
          <w:tcPr>
            <w:tcW w:w="5103" w:type="dxa"/>
          </w:tcPr>
          <w:p w14:paraId="20E8A760" w14:textId="34E3F378" w:rsidR="00BF6486" w:rsidRPr="00CF3015" w:rsidRDefault="004F3C74" w:rsidP="009B41F4">
            <w:pPr>
              <w:pStyle w:val="ListParagraph"/>
              <w:numPr>
                <w:ilvl w:val="0"/>
                <w:numId w:val="13"/>
              </w:numPr>
              <w:rPr>
                <w:sz w:val="20"/>
                <w:szCs w:val="20"/>
              </w:rPr>
            </w:pPr>
            <w:r w:rsidRPr="00CF3015">
              <w:rPr>
                <w:sz w:val="20"/>
                <w:szCs w:val="20"/>
              </w:rPr>
              <w:t>orientation is provided to students with specific considerations for international students adjusting to living and studying in Australia</w:t>
            </w:r>
          </w:p>
          <w:p w14:paraId="048BDAF8" w14:textId="06C2EBB0" w:rsidR="009D3138" w:rsidRPr="00CF3015" w:rsidRDefault="004F3C74" w:rsidP="009B41F4">
            <w:pPr>
              <w:pStyle w:val="ListParagraph"/>
              <w:numPr>
                <w:ilvl w:val="0"/>
                <w:numId w:val="13"/>
              </w:numPr>
              <w:rPr>
                <w:sz w:val="20"/>
                <w:szCs w:val="20"/>
              </w:rPr>
            </w:pPr>
            <w:r w:rsidRPr="00CF3015">
              <w:rPr>
                <w:sz w:val="20"/>
                <w:szCs w:val="20"/>
              </w:rPr>
              <w:t xml:space="preserve">assessment and monitoring methods to ascertain student progress, </w:t>
            </w:r>
            <w:r w:rsidR="0067331A" w:rsidRPr="00CF3015">
              <w:rPr>
                <w:sz w:val="20"/>
                <w:szCs w:val="20"/>
              </w:rPr>
              <w:t>pass rates</w:t>
            </w:r>
            <w:r w:rsidR="00482679" w:rsidRPr="00CF3015">
              <w:rPr>
                <w:sz w:val="20"/>
                <w:szCs w:val="20"/>
              </w:rPr>
              <w:t xml:space="preserve">, </w:t>
            </w:r>
            <w:r w:rsidRPr="00CF3015">
              <w:rPr>
                <w:sz w:val="20"/>
                <w:szCs w:val="20"/>
              </w:rPr>
              <w:t>retention and completion</w:t>
            </w:r>
            <w:r w:rsidR="00482679" w:rsidRPr="00CF3015">
              <w:rPr>
                <w:sz w:val="20"/>
                <w:szCs w:val="20"/>
              </w:rPr>
              <w:t>.</w:t>
            </w:r>
          </w:p>
        </w:tc>
      </w:tr>
      <w:tr w:rsidR="00BD2C83" w:rsidRPr="00B77F00" w14:paraId="717C6F82" w14:textId="77777777" w:rsidTr="00CF3015">
        <w:trPr>
          <w:trHeight w:val="1097"/>
        </w:trPr>
        <w:tc>
          <w:tcPr>
            <w:tcW w:w="3964" w:type="dxa"/>
          </w:tcPr>
          <w:p w14:paraId="0F2C580E" w14:textId="2EEAE08F" w:rsidR="00BD2C83" w:rsidRPr="00CF3015" w:rsidRDefault="00BD2C83" w:rsidP="00B759C1">
            <w:pPr>
              <w:rPr>
                <w:sz w:val="20"/>
                <w:szCs w:val="20"/>
              </w:rPr>
            </w:pPr>
            <w:r w:rsidRPr="00CF3015">
              <w:rPr>
                <w:sz w:val="20"/>
                <w:szCs w:val="20"/>
              </w:rPr>
              <w:t>2.2.3</w:t>
            </w:r>
            <w:r w:rsidR="00D4783F" w:rsidRPr="00CF3015">
              <w:rPr>
                <w:sz w:val="20"/>
                <w:szCs w:val="20"/>
              </w:rPr>
              <w:t>:</w:t>
            </w:r>
            <w:r w:rsidR="00AB6450" w:rsidRPr="00CF3015">
              <w:rPr>
                <w:sz w:val="20"/>
                <w:szCs w:val="20"/>
              </w:rPr>
              <w:t xml:space="preserve"> Diversity and Equity</w:t>
            </w:r>
          </w:p>
        </w:tc>
        <w:tc>
          <w:tcPr>
            <w:tcW w:w="5103" w:type="dxa"/>
          </w:tcPr>
          <w:p w14:paraId="333ACAA2" w14:textId="43C0BF35" w:rsidR="00BD2C83" w:rsidRPr="00CF3015" w:rsidRDefault="00300892" w:rsidP="009B41F4">
            <w:pPr>
              <w:pStyle w:val="ListParagraph"/>
              <w:numPr>
                <w:ilvl w:val="0"/>
                <w:numId w:val="13"/>
              </w:numPr>
              <w:rPr>
                <w:sz w:val="20"/>
                <w:szCs w:val="20"/>
              </w:rPr>
            </w:pPr>
            <w:r w:rsidRPr="00CF3015">
              <w:rPr>
                <w:sz w:val="20"/>
                <w:szCs w:val="20"/>
              </w:rPr>
              <w:t>p</w:t>
            </w:r>
            <w:r w:rsidR="00C03D66" w:rsidRPr="00CF3015">
              <w:rPr>
                <w:sz w:val="20"/>
                <w:szCs w:val="20"/>
              </w:rPr>
              <w:t xml:space="preserve">articipation, </w:t>
            </w:r>
            <w:r w:rsidR="00783D46" w:rsidRPr="00CF3015">
              <w:rPr>
                <w:sz w:val="20"/>
                <w:szCs w:val="20"/>
              </w:rPr>
              <w:t>progress,</w:t>
            </w:r>
            <w:r w:rsidR="00C03D66" w:rsidRPr="00CF3015">
              <w:rPr>
                <w:sz w:val="20"/>
                <w:szCs w:val="20"/>
              </w:rPr>
              <w:t xml:space="preserve"> and completion are monitored to improve teaching and learning strategies to support </w:t>
            </w:r>
            <w:r w:rsidR="00567991" w:rsidRPr="00CF3015">
              <w:rPr>
                <w:sz w:val="20"/>
                <w:szCs w:val="20"/>
              </w:rPr>
              <w:t xml:space="preserve">identified </w:t>
            </w:r>
            <w:r w:rsidR="00CB7CB7" w:rsidRPr="00CF3015">
              <w:rPr>
                <w:sz w:val="20"/>
                <w:szCs w:val="20"/>
              </w:rPr>
              <w:t xml:space="preserve">‘at risk’ </w:t>
            </w:r>
            <w:r w:rsidR="00567991" w:rsidRPr="00CF3015">
              <w:rPr>
                <w:sz w:val="20"/>
                <w:szCs w:val="20"/>
              </w:rPr>
              <w:t xml:space="preserve">student </w:t>
            </w:r>
            <w:r w:rsidR="003B6641" w:rsidRPr="00CF3015">
              <w:rPr>
                <w:sz w:val="20"/>
                <w:szCs w:val="20"/>
              </w:rPr>
              <w:t>cohorts</w:t>
            </w:r>
            <w:r w:rsidR="00C03D66" w:rsidRPr="00CF3015">
              <w:rPr>
                <w:sz w:val="20"/>
                <w:szCs w:val="20"/>
              </w:rPr>
              <w:t xml:space="preserve">. </w:t>
            </w:r>
          </w:p>
        </w:tc>
      </w:tr>
      <w:tr w:rsidR="00BD2C83" w:rsidRPr="00B77F00" w14:paraId="363BB275" w14:textId="77777777" w:rsidTr="00CF3015">
        <w:trPr>
          <w:trHeight w:val="843"/>
        </w:trPr>
        <w:tc>
          <w:tcPr>
            <w:tcW w:w="3964" w:type="dxa"/>
          </w:tcPr>
          <w:p w14:paraId="536B01CE" w14:textId="03B595CF" w:rsidR="00BD2C83" w:rsidRPr="00CF3015" w:rsidRDefault="00BD2C83" w:rsidP="00B759C1">
            <w:pPr>
              <w:rPr>
                <w:sz w:val="20"/>
                <w:szCs w:val="20"/>
              </w:rPr>
            </w:pPr>
            <w:r w:rsidRPr="00CF3015">
              <w:rPr>
                <w:sz w:val="20"/>
                <w:szCs w:val="20"/>
              </w:rPr>
              <w:t>3.2.</w:t>
            </w:r>
            <w:r w:rsidR="00E26135" w:rsidRPr="00CF3015">
              <w:rPr>
                <w:sz w:val="20"/>
                <w:szCs w:val="20"/>
              </w:rPr>
              <w:t>5</w:t>
            </w:r>
            <w:r w:rsidR="00D4783F" w:rsidRPr="00CF3015">
              <w:rPr>
                <w:sz w:val="20"/>
                <w:szCs w:val="20"/>
              </w:rPr>
              <w:t>:</w:t>
            </w:r>
            <w:r w:rsidR="00AB6450" w:rsidRPr="00CF3015">
              <w:rPr>
                <w:sz w:val="20"/>
                <w:szCs w:val="20"/>
              </w:rPr>
              <w:t xml:space="preserve"> Staffing</w:t>
            </w:r>
          </w:p>
        </w:tc>
        <w:tc>
          <w:tcPr>
            <w:tcW w:w="5103" w:type="dxa"/>
          </w:tcPr>
          <w:p w14:paraId="7D186FEB" w14:textId="492FC1AA" w:rsidR="00BD2C83" w:rsidRPr="00CF3015" w:rsidRDefault="00300892" w:rsidP="009B41F4">
            <w:pPr>
              <w:pStyle w:val="ListParagraph"/>
              <w:numPr>
                <w:ilvl w:val="0"/>
                <w:numId w:val="13"/>
              </w:numPr>
              <w:rPr>
                <w:sz w:val="20"/>
                <w:szCs w:val="20"/>
              </w:rPr>
            </w:pPr>
            <w:r w:rsidRPr="00CF3015">
              <w:rPr>
                <w:sz w:val="20"/>
                <w:szCs w:val="20"/>
              </w:rPr>
              <w:t>t</w:t>
            </w:r>
            <w:r w:rsidR="00E26135" w:rsidRPr="00CF3015">
              <w:rPr>
                <w:sz w:val="20"/>
                <w:szCs w:val="20"/>
              </w:rPr>
              <w:t>eaching staff are accessible to students seeking individual assistance with their studies</w:t>
            </w:r>
          </w:p>
          <w:p w14:paraId="4B311D3E" w14:textId="38134C74" w:rsidR="00F719C7" w:rsidRPr="00CF3015" w:rsidRDefault="00CF3015" w:rsidP="009B41F4">
            <w:pPr>
              <w:pStyle w:val="ListParagraph"/>
              <w:numPr>
                <w:ilvl w:val="0"/>
                <w:numId w:val="13"/>
              </w:numPr>
              <w:rPr>
                <w:sz w:val="20"/>
                <w:szCs w:val="20"/>
              </w:rPr>
            </w:pPr>
            <w:r w:rsidRPr="00CF3015">
              <w:rPr>
                <w:sz w:val="20"/>
                <w:szCs w:val="20"/>
              </w:rPr>
              <w:t>teaching staff have the requisite knowledge, skills and time to provide adequate support to students</w:t>
            </w:r>
          </w:p>
        </w:tc>
      </w:tr>
      <w:tr w:rsidR="00BD2C83" w:rsidRPr="00B77F00" w14:paraId="523FE7C1" w14:textId="77777777" w:rsidTr="007C4501">
        <w:tc>
          <w:tcPr>
            <w:tcW w:w="3964" w:type="dxa"/>
          </w:tcPr>
          <w:p w14:paraId="45B3FF32" w14:textId="6840E117" w:rsidR="00BD2C83" w:rsidRPr="00CF3015" w:rsidRDefault="00BD2C83" w:rsidP="00BD2C83">
            <w:pPr>
              <w:rPr>
                <w:sz w:val="20"/>
                <w:szCs w:val="20"/>
              </w:rPr>
            </w:pPr>
            <w:r w:rsidRPr="00CF3015">
              <w:rPr>
                <w:sz w:val="20"/>
                <w:szCs w:val="20"/>
              </w:rPr>
              <w:t>3.3.1</w:t>
            </w:r>
            <w:r w:rsidR="00E26135" w:rsidRPr="00CF3015">
              <w:rPr>
                <w:sz w:val="20"/>
                <w:szCs w:val="20"/>
              </w:rPr>
              <w:t>-4</w:t>
            </w:r>
            <w:r w:rsidR="00D4783F" w:rsidRPr="00CF3015">
              <w:rPr>
                <w:sz w:val="20"/>
                <w:szCs w:val="20"/>
              </w:rPr>
              <w:t>:</w:t>
            </w:r>
            <w:r w:rsidRPr="00CF3015">
              <w:rPr>
                <w:sz w:val="20"/>
                <w:szCs w:val="20"/>
              </w:rPr>
              <w:t xml:space="preserve"> Resources up to date and accessible</w:t>
            </w:r>
          </w:p>
        </w:tc>
        <w:tc>
          <w:tcPr>
            <w:tcW w:w="5103" w:type="dxa"/>
          </w:tcPr>
          <w:p w14:paraId="060AD3BF" w14:textId="131916F2" w:rsidR="00BD2C83" w:rsidRPr="00CF3015" w:rsidRDefault="00BD2C83" w:rsidP="009B41F4">
            <w:pPr>
              <w:pStyle w:val="ListParagraph"/>
              <w:numPr>
                <w:ilvl w:val="0"/>
                <w:numId w:val="13"/>
              </w:numPr>
              <w:rPr>
                <w:sz w:val="20"/>
                <w:szCs w:val="20"/>
              </w:rPr>
            </w:pPr>
            <w:r w:rsidRPr="00CF3015">
              <w:rPr>
                <w:sz w:val="20"/>
                <w:szCs w:val="20"/>
              </w:rPr>
              <w:t>the learning resources are up to date and accessible</w:t>
            </w:r>
          </w:p>
          <w:p w14:paraId="4DD0B5CA" w14:textId="1F39C3FD" w:rsidR="00E26135" w:rsidRPr="00CF3015" w:rsidRDefault="00E26135" w:rsidP="009B41F4">
            <w:pPr>
              <w:pStyle w:val="ListParagraph"/>
              <w:numPr>
                <w:ilvl w:val="0"/>
                <w:numId w:val="13"/>
              </w:numPr>
              <w:rPr>
                <w:sz w:val="20"/>
                <w:szCs w:val="20"/>
              </w:rPr>
            </w:pPr>
            <w:r w:rsidRPr="00CF3015">
              <w:rPr>
                <w:sz w:val="20"/>
                <w:szCs w:val="20"/>
              </w:rPr>
              <w:t>access to electronic learning management systems is timely and training is available to use the system</w:t>
            </w:r>
            <w:r w:rsidR="00567991" w:rsidRPr="00CF3015">
              <w:rPr>
                <w:sz w:val="20"/>
                <w:szCs w:val="20"/>
              </w:rPr>
              <w:t>s</w:t>
            </w:r>
          </w:p>
          <w:p w14:paraId="0205FF8E" w14:textId="77777777" w:rsidR="00E26135" w:rsidRPr="00CF3015" w:rsidRDefault="00E26135" w:rsidP="009B41F4">
            <w:pPr>
              <w:pStyle w:val="ListParagraph"/>
              <w:numPr>
                <w:ilvl w:val="0"/>
                <w:numId w:val="13"/>
              </w:numPr>
              <w:rPr>
                <w:sz w:val="20"/>
                <w:szCs w:val="20"/>
              </w:rPr>
            </w:pPr>
            <w:r w:rsidRPr="00CF3015">
              <w:rPr>
                <w:sz w:val="20"/>
                <w:szCs w:val="20"/>
              </w:rPr>
              <w:t>access to learning resources does not present any unexpected barriers costs or technology requirements</w:t>
            </w:r>
          </w:p>
          <w:p w14:paraId="2551E80C" w14:textId="0088BDD8" w:rsidR="00E26135" w:rsidRPr="00CF3015" w:rsidRDefault="00E26135" w:rsidP="009B41F4">
            <w:pPr>
              <w:pStyle w:val="ListParagraph"/>
              <w:numPr>
                <w:ilvl w:val="0"/>
                <w:numId w:val="13"/>
              </w:numPr>
              <w:rPr>
                <w:sz w:val="20"/>
                <w:szCs w:val="20"/>
              </w:rPr>
            </w:pPr>
            <w:r w:rsidRPr="00CF3015">
              <w:rPr>
                <w:sz w:val="20"/>
                <w:szCs w:val="20"/>
              </w:rPr>
              <w:t xml:space="preserve">student access to </w:t>
            </w:r>
            <w:r w:rsidR="00B4723B" w:rsidRPr="00CF3015">
              <w:rPr>
                <w:sz w:val="20"/>
                <w:szCs w:val="20"/>
              </w:rPr>
              <w:t xml:space="preserve">educational </w:t>
            </w:r>
            <w:r w:rsidRPr="00CF3015">
              <w:rPr>
                <w:sz w:val="20"/>
                <w:szCs w:val="20"/>
              </w:rPr>
              <w:t xml:space="preserve">support services </w:t>
            </w:r>
            <w:r w:rsidR="00B365AF" w:rsidRPr="00CF3015">
              <w:rPr>
                <w:sz w:val="20"/>
                <w:szCs w:val="20"/>
              </w:rPr>
              <w:t>is consistent</w:t>
            </w:r>
            <w:r w:rsidRPr="00CF3015">
              <w:rPr>
                <w:sz w:val="20"/>
                <w:szCs w:val="20"/>
              </w:rPr>
              <w:t xml:space="preserve"> with their course </w:t>
            </w:r>
            <w:r w:rsidR="00567991" w:rsidRPr="00CF3015">
              <w:rPr>
                <w:sz w:val="20"/>
                <w:szCs w:val="20"/>
              </w:rPr>
              <w:t>requirements</w:t>
            </w:r>
            <w:r w:rsidRPr="00CF3015">
              <w:rPr>
                <w:sz w:val="20"/>
                <w:szCs w:val="20"/>
              </w:rPr>
              <w:t>, mode of study and learning needs</w:t>
            </w:r>
            <w:r w:rsidR="0045485C" w:rsidRPr="00CF3015">
              <w:rPr>
                <w:sz w:val="20"/>
                <w:szCs w:val="20"/>
              </w:rPr>
              <w:t>.</w:t>
            </w:r>
          </w:p>
        </w:tc>
      </w:tr>
    </w:tbl>
    <w:p w14:paraId="07CD518F" w14:textId="77777777" w:rsidR="00A71012" w:rsidRDefault="00A71012" w:rsidP="00A71012">
      <w:pPr>
        <w:pStyle w:val="Heading3"/>
      </w:pPr>
      <w:r>
        <w:t>Obligations applying to providers of education to overseas students</w:t>
      </w:r>
    </w:p>
    <w:p w14:paraId="697824D4" w14:textId="7C74E969" w:rsidR="00187BCE" w:rsidRPr="00187BCE" w:rsidRDefault="00A71012" w:rsidP="00187BCE">
      <w:r>
        <w:t xml:space="preserve">Where it applies to a provider, TEQSA considers the </w:t>
      </w:r>
      <w:hyperlink r:id="rId12" w:tgtFrame="_blank" w:tooltip="National Code 2018" w:history="1">
        <w:r w:rsidRPr="006A7F50">
          <w:rPr>
            <w:rStyle w:val="Hyperlink"/>
            <w:i/>
            <w:iCs/>
          </w:rPr>
          <w:t>National Code of Practice for Providers of Education and Training to Overseas Students 2018</w:t>
        </w:r>
        <w:r w:rsidRPr="006A7F50">
          <w:rPr>
            <w:rStyle w:val="Hyperlink"/>
          </w:rPr>
          <w:t> </w:t>
        </w:r>
      </w:hyperlink>
      <w:r w:rsidRPr="00215A66">
        <w:t>(National Code)</w:t>
      </w:r>
      <w:r>
        <w:t xml:space="preserve"> and the </w:t>
      </w:r>
      <w:hyperlink r:id="rId13" w:history="1">
        <w:r w:rsidRPr="006A7F50">
          <w:rPr>
            <w:rStyle w:val="Hyperlink"/>
            <w:i/>
            <w:iCs/>
          </w:rPr>
          <w:t>Education Services for Overseas Students Act 2000</w:t>
        </w:r>
      </w:hyperlink>
      <w:r>
        <w:rPr>
          <w:i/>
          <w:iCs/>
        </w:rPr>
        <w:t xml:space="preserve"> </w:t>
      </w:r>
      <w:r>
        <w:t>(ESOS Act).</w:t>
      </w:r>
    </w:p>
    <w:p w14:paraId="5644E70B" w14:textId="0209E0FF" w:rsidR="00B422EC" w:rsidRDefault="00B422EC" w:rsidP="00B422EC">
      <w:r>
        <w:t xml:space="preserve">Sections of the </w:t>
      </w:r>
      <w:hyperlink r:id="rId14" w:history="1">
        <w:r>
          <w:rPr>
            <w:rStyle w:val="Hyperlink"/>
          </w:rPr>
          <w:t>National Code</w:t>
        </w:r>
      </w:hyperlink>
      <w:r>
        <w:t xml:space="preserve"> relevant to</w:t>
      </w:r>
      <w:r w:rsidR="00462767">
        <w:t xml:space="preserve"> learning resources and educational support</w:t>
      </w:r>
      <w:r>
        <w:t xml:space="preserve"> are:</w:t>
      </w:r>
    </w:p>
    <w:p w14:paraId="453516A5" w14:textId="49D623CC" w:rsidR="00187BCE" w:rsidRDefault="00B51810" w:rsidP="005862FF">
      <w:r w:rsidRPr="00B51810">
        <w:rPr>
          <w:b/>
          <w:bCs/>
        </w:rPr>
        <w:t>2.1.5</w:t>
      </w:r>
      <w:r>
        <w:t xml:space="preserve"> </w:t>
      </w:r>
      <w:r w:rsidR="00462767">
        <w:t>–</w:t>
      </w:r>
      <w:r w:rsidR="0094771D">
        <w:t xml:space="preserve"> before accepting a prospective student for enrolment, a </w:t>
      </w:r>
      <w:r w:rsidR="00462767">
        <w:t>provider must make information about campus locations, facilities and learning resources available</w:t>
      </w:r>
      <w:r w:rsidR="0094771D">
        <w:t xml:space="preserve"> in plain English </w:t>
      </w:r>
    </w:p>
    <w:p w14:paraId="23259C07" w14:textId="258BDFBD" w:rsidR="002F5D4B" w:rsidRDefault="002F5D4B" w:rsidP="005862FF">
      <w:pPr>
        <w:rPr>
          <w:b/>
          <w:bCs/>
        </w:rPr>
      </w:pPr>
      <w:r>
        <w:rPr>
          <w:b/>
          <w:bCs/>
        </w:rPr>
        <w:t xml:space="preserve">6.1 </w:t>
      </w:r>
      <w:r>
        <w:t>– a provider must support overseas students adjusting to study and life in Australia by providing information and culturally appropriate orientation on:</w:t>
      </w:r>
    </w:p>
    <w:p w14:paraId="049327F4" w14:textId="0FCBC462" w:rsidR="002F5D4B" w:rsidRDefault="002F5D4B" w:rsidP="005862FF">
      <w:pPr>
        <w:pStyle w:val="Bullet1"/>
        <w:rPr>
          <w:b/>
          <w:bCs/>
        </w:rPr>
      </w:pPr>
      <w:r>
        <w:rPr>
          <w:b/>
          <w:bCs/>
        </w:rPr>
        <w:t xml:space="preserve">6.1.2 </w:t>
      </w:r>
      <w:r>
        <w:t xml:space="preserve">– </w:t>
      </w:r>
      <w:r w:rsidR="00AC2D55">
        <w:t>E</w:t>
      </w:r>
      <w:r>
        <w:t>nglish language and study assistance programs</w:t>
      </w:r>
    </w:p>
    <w:p w14:paraId="77BF781F" w14:textId="5FBE6093" w:rsidR="00462767" w:rsidRPr="002F5D4B" w:rsidRDefault="00462767" w:rsidP="005862FF">
      <w:pPr>
        <w:pStyle w:val="Bullet1"/>
        <w:rPr>
          <w:b/>
          <w:bCs/>
        </w:rPr>
      </w:pPr>
      <w:r w:rsidRPr="00462767">
        <w:rPr>
          <w:b/>
          <w:bCs/>
        </w:rPr>
        <w:t>6.1.5</w:t>
      </w:r>
      <w:r w:rsidR="002F5D4B">
        <w:rPr>
          <w:b/>
          <w:bCs/>
        </w:rPr>
        <w:t xml:space="preserve"> </w:t>
      </w:r>
      <w:r w:rsidR="002F5D4B">
        <w:t xml:space="preserve">– </w:t>
      </w:r>
      <w:r w:rsidR="002F5D4B" w:rsidRPr="002F5D4B">
        <w:t>its</w:t>
      </w:r>
      <w:r>
        <w:t xml:space="preserve"> facilities and </w:t>
      </w:r>
      <w:r w:rsidR="00DB7389">
        <w:t>resources</w:t>
      </w:r>
    </w:p>
    <w:p w14:paraId="4E1DC45F" w14:textId="4713A396" w:rsidR="002F5D4B" w:rsidRDefault="002F5D4B" w:rsidP="005862FF">
      <w:pPr>
        <w:pStyle w:val="Bullet1"/>
        <w:rPr>
          <w:b/>
          <w:bCs/>
        </w:rPr>
      </w:pPr>
      <w:r>
        <w:rPr>
          <w:b/>
          <w:bCs/>
        </w:rPr>
        <w:t xml:space="preserve">6.1.8 </w:t>
      </w:r>
      <w:r>
        <w:t>– support services available to assist students with general or personal circumstances adversely affecting their education in Australia</w:t>
      </w:r>
    </w:p>
    <w:p w14:paraId="2AB41A08" w14:textId="0947D3D2" w:rsidR="002F5D4B" w:rsidRDefault="002F5D4B" w:rsidP="005862FF">
      <w:pPr>
        <w:rPr>
          <w:b/>
          <w:bCs/>
        </w:rPr>
      </w:pPr>
      <w:r>
        <w:rPr>
          <w:b/>
          <w:bCs/>
        </w:rPr>
        <w:lastRenderedPageBreak/>
        <w:t>6.3</w:t>
      </w:r>
      <w:r w:rsidR="00B553BE">
        <w:rPr>
          <w:b/>
          <w:bCs/>
        </w:rPr>
        <w:t xml:space="preserve"> </w:t>
      </w:r>
      <w:r w:rsidR="00B553BE">
        <w:t>– a provider must give reasonable support to overseas students to enable them to achieve expected learning outcomes regardless of place or mode of study, at no additional cost to the student</w:t>
      </w:r>
    </w:p>
    <w:p w14:paraId="768874AA" w14:textId="6471B748" w:rsidR="002F5D4B" w:rsidRPr="005862FF" w:rsidRDefault="002F5D4B" w:rsidP="005862FF">
      <w:pPr>
        <w:rPr>
          <w:b/>
          <w:bCs/>
        </w:rPr>
      </w:pPr>
      <w:r>
        <w:rPr>
          <w:b/>
          <w:bCs/>
        </w:rPr>
        <w:t>6.4</w:t>
      </w:r>
      <w:r w:rsidR="00B553BE">
        <w:rPr>
          <w:b/>
          <w:bCs/>
        </w:rPr>
        <w:t xml:space="preserve"> </w:t>
      </w:r>
      <w:r w:rsidR="00B553BE">
        <w:t>– a provider must facilitate access to learning support services consistent with the requirements of the course, mode of study and learning needs of the student</w:t>
      </w:r>
      <w:r w:rsidR="002B338A">
        <w:t>.</w:t>
      </w:r>
    </w:p>
    <w:p w14:paraId="799132EC" w14:textId="4DC96D73" w:rsidR="005862FF" w:rsidRPr="006F5218" w:rsidRDefault="005862FF" w:rsidP="005862FF">
      <w:pPr>
        <w:rPr>
          <w:b/>
          <w:bCs/>
        </w:rPr>
      </w:pPr>
      <w:r>
        <w:rPr>
          <w:b/>
          <w:bCs/>
        </w:rPr>
        <w:t>8.22</w:t>
      </w:r>
      <w:r>
        <w:t xml:space="preserve"> </w:t>
      </w:r>
      <w:r w:rsidR="007668F8">
        <w:t>–</w:t>
      </w:r>
      <w:r>
        <w:t xml:space="preserve"> </w:t>
      </w:r>
      <w:r w:rsidR="007668F8">
        <w:t xml:space="preserve">a provider must take all reasonable steps to support overseas students who may be disadvantaged while engaging in distance or online learning. </w:t>
      </w:r>
    </w:p>
    <w:p w14:paraId="0BA563BE" w14:textId="223E4B7D" w:rsidR="37C54D7B" w:rsidRPr="001942A9" w:rsidRDefault="37C54D7B" w:rsidP="13684918">
      <w:pPr>
        <w:pStyle w:val="Heading3"/>
      </w:pPr>
      <w:r w:rsidRPr="001942A9">
        <w:t>Obligations applying to providers receiving</w:t>
      </w:r>
      <w:r w:rsidR="7A9466F0" w:rsidRPr="001942A9">
        <w:t xml:space="preserve"> financial support from the Commonwealth</w:t>
      </w:r>
    </w:p>
    <w:p w14:paraId="166DDEBE" w14:textId="4652B1FD" w:rsidR="458246C8" w:rsidRPr="00F973FD" w:rsidRDefault="458246C8" w:rsidP="13684918">
      <w:pPr>
        <w:rPr>
          <w:color w:val="auto"/>
        </w:rPr>
      </w:pPr>
      <w:r w:rsidRPr="00F973FD">
        <w:rPr>
          <w:color w:val="auto"/>
        </w:rPr>
        <w:t xml:space="preserve">Providers </w:t>
      </w:r>
      <w:r w:rsidR="28C0D66C" w:rsidRPr="00F973FD">
        <w:rPr>
          <w:color w:val="auto"/>
        </w:rPr>
        <w:t>subject to</w:t>
      </w:r>
      <w:r w:rsidRPr="00F973FD">
        <w:rPr>
          <w:color w:val="auto"/>
        </w:rPr>
        <w:t xml:space="preserve"> t</w:t>
      </w:r>
      <w:r w:rsidR="37C54D7B" w:rsidRPr="00F973FD">
        <w:rPr>
          <w:color w:val="auto"/>
        </w:rPr>
        <w:t xml:space="preserve">he </w:t>
      </w:r>
      <w:hyperlink r:id="rId15">
        <w:r w:rsidR="37C54D7B" w:rsidRPr="002E6A7E">
          <w:rPr>
            <w:rStyle w:val="Hyperlink"/>
            <w:i/>
            <w:iCs/>
          </w:rPr>
          <w:t>Higher Education Support Act 2003</w:t>
        </w:r>
      </w:hyperlink>
      <w:r w:rsidR="37C54D7B" w:rsidRPr="00F973FD">
        <w:rPr>
          <w:color w:val="auto"/>
        </w:rPr>
        <w:t xml:space="preserve"> (HESA Act)</w:t>
      </w:r>
      <w:r w:rsidR="046A2A1D" w:rsidRPr="00F973FD">
        <w:rPr>
          <w:color w:val="auto"/>
        </w:rPr>
        <w:t xml:space="preserve"> may have additional obligations regarding learning resources and educational support.</w:t>
      </w:r>
    </w:p>
    <w:p w14:paraId="0DFB0B47" w14:textId="7985F322" w:rsidR="37C54D7B" w:rsidRPr="00F973FD" w:rsidRDefault="37C54D7B" w:rsidP="13684918">
      <w:pPr>
        <w:rPr>
          <w:color w:val="auto"/>
        </w:rPr>
      </w:pPr>
      <w:r w:rsidRPr="00F973FD">
        <w:rPr>
          <w:color w:val="auto"/>
        </w:rPr>
        <w:t>The HESA Act sets out</w:t>
      </w:r>
      <w:r w:rsidR="36831685" w:rsidRPr="00F973FD">
        <w:rPr>
          <w:color w:val="auto"/>
        </w:rPr>
        <w:t>, amongst other things,</w:t>
      </w:r>
      <w:r w:rsidRPr="00F973FD">
        <w:rPr>
          <w:color w:val="auto"/>
        </w:rPr>
        <w:t xml:space="preserve"> the parameters of what a provider can charge student</w:t>
      </w:r>
      <w:r w:rsidR="6808F631" w:rsidRPr="00F973FD">
        <w:rPr>
          <w:color w:val="auto"/>
        </w:rPr>
        <w:t>s</w:t>
      </w:r>
      <w:r w:rsidRPr="00F973FD">
        <w:rPr>
          <w:color w:val="auto"/>
        </w:rPr>
        <w:t xml:space="preserve"> for the services it provides.</w:t>
      </w:r>
      <w:r w:rsidR="4BE8DD2C" w:rsidRPr="00F973FD">
        <w:rPr>
          <w:color w:val="auto"/>
        </w:rPr>
        <w:t xml:space="preserve"> Providers </w:t>
      </w:r>
      <w:r w:rsidR="3B706776" w:rsidRPr="00F973FD">
        <w:rPr>
          <w:color w:val="auto"/>
        </w:rPr>
        <w:t>subject to the HESA Act</w:t>
      </w:r>
      <w:r w:rsidR="4BE8DD2C" w:rsidRPr="00F973FD">
        <w:rPr>
          <w:color w:val="auto"/>
        </w:rPr>
        <w:t xml:space="preserve"> must not charge students for </w:t>
      </w:r>
      <w:r w:rsidR="190FF0DD" w:rsidRPr="00F973FD">
        <w:rPr>
          <w:color w:val="auto"/>
        </w:rPr>
        <w:t>learning resources and education</w:t>
      </w:r>
      <w:r w:rsidR="04FB9ED0" w:rsidRPr="00F973FD">
        <w:rPr>
          <w:color w:val="auto"/>
        </w:rPr>
        <w:t>al</w:t>
      </w:r>
      <w:r w:rsidR="190FF0DD" w:rsidRPr="00F973FD">
        <w:rPr>
          <w:color w:val="auto"/>
        </w:rPr>
        <w:t xml:space="preserve"> support where to do so </w:t>
      </w:r>
      <w:r w:rsidR="0B12E6AD" w:rsidRPr="00F973FD">
        <w:rPr>
          <w:color w:val="auto"/>
        </w:rPr>
        <w:t xml:space="preserve">would be </w:t>
      </w:r>
      <w:r w:rsidR="190FF0DD" w:rsidRPr="00F973FD">
        <w:rPr>
          <w:color w:val="auto"/>
        </w:rPr>
        <w:t>contrary to the HESA.</w:t>
      </w:r>
      <w:r w:rsidR="5755F473" w:rsidRPr="00F973FD">
        <w:rPr>
          <w:color w:val="auto"/>
        </w:rPr>
        <w:t xml:space="preserve"> </w:t>
      </w:r>
    </w:p>
    <w:p w14:paraId="506BF1B9" w14:textId="6B8DDC32" w:rsidR="5755F473" w:rsidRPr="00F973FD" w:rsidRDefault="5755F473" w:rsidP="13684918">
      <w:pPr>
        <w:spacing w:line="259" w:lineRule="auto"/>
        <w:rPr>
          <w:color w:val="auto"/>
        </w:rPr>
      </w:pPr>
      <w:r w:rsidRPr="00F973FD">
        <w:rPr>
          <w:color w:val="auto"/>
        </w:rPr>
        <w:t>For example,</w:t>
      </w:r>
      <w:r w:rsidR="6E652D72" w:rsidRPr="00F973FD">
        <w:rPr>
          <w:color w:val="auto"/>
        </w:rPr>
        <w:t xml:space="preserve"> consistent with</w:t>
      </w:r>
      <w:r w:rsidR="549FBED6" w:rsidRPr="00F973FD">
        <w:rPr>
          <w:color w:val="auto"/>
        </w:rPr>
        <w:t xml:space="preserve"> </w:t>
      </w:r>
      <w:r w:rsidR="5D650EE2" w:rsidRPr="00F973FD">
        <w:rPr>
          <w:color w:val="auto"/>
        </w:rPr>
        <w:t xml:space="preserve">section </w:t>
      </w:r>
      <w:r w:rsidR="549FBED6" w:rsidRPr="00F973FD">
        <w:rPr>
          <w:color w:val="auto"/>
        </w:rPr>
        <w:t>36-45 of the HESA Act</w:t>
      </w:r>
      <w:r w:rsidR="7559BBF7" w:rsidRPr="00F973FD">
        <w:rPr>
          <w:color w:val="auto"/>
        </w:rPr>
        <w:t xml:space="preserve"> p</w:t>
      </w:r>
      <w:r w:rsidR="068982BA" w:rsidRPr="00F973FD">
        <w:rPr>
          <w:color w:val="auto"/>
        </w:rPr>
        <w:t>rovider</w:t>
      </w:r>
      <w:r w:rsidR="7559BBF7" w:rsidRPr="00F973FD">
        <w:rPr>
          <w:color w:val="auto"/>
        </w:rPr>
        <w:t>s</w:t>
      </w:r>
      <w:r w:rsidR="068982BA" w:rsidRPr="00F973FD">
        <w:rPr>
          <w:color w:val="auto"/>
        </w:rPr>
        <w:t xml:space="preserve"> cannot ask students to make contributions toward the cost of a unit beyond specified</w:t>
      </w:r>
      <w:r w:rsidR="7559BBF7" w:rsidRPr="00F973FD">
        <w:rPr>
          <w:color w:val="auto"/>
        </w:rPr>
        <w:t xml:space="preserve"> limits</w:t>
      </w:r>
      <w:r w:rsidR="14ECF6EF" w:rsidRPr="00F973FD">
        <w:rPr>
          <w:color w:val="auto"/>
        </w:rPr>
        <w:t>.</w:t>
      </w:r>
    </w:p>
    <w:p w14:paraId="11962617" w14:textId="17789E75" w:rsidR="00F469C0" w:rsidRPr="00B77F00" w:rsidRDefault="005B5392" w:rsidP="009B41F4">
      <w:pPr>
        <w:pStyle w:val="Heading2"/>
        <w:numPr>
          <w:ilvl w:val="0"/>
          <w:numId w:val="14"/>
        </w:numPr>
      </w:pPr>
      <w:r w:rsidRPr="00B77F00">
        <w:t>Identified issues</w:t>
      </w:r>
    </w:p>
    <w:p w14:paraId="3A22D5C6" w14:textId="31FA0FF2" w:rsidR="004D2C3F" w:rsidRPr="00B77F00" w:rsidRDefault="004D2C3F" w:rsidP="00EC5DD6">
      <w:pPr>
        <w:pStyle w:val="BulletsL2"/>
        <w:numPr>
          <w:ilvl w:val="0"/>
          <w:numId w:val="0"/>
        </w:numPr>
        <w:rPr>
          <w:lang w:val="en-AU"/>
        </w:rPr>
      </w:pPr>
      <w:r w:rsidRPr="00B77F00">
        <w:rPr>
          <w:lang w:val="en-AU"/>
        </w:rPr>
        <w:t>TEQSA has identified</w:t>
      </w:r>
      <w:r w:rsidR="008A724D">
        <w:rPr>
          <w:lang w:val="en-AU"/>
        </w:rPr>
        <w:t xml:space="preserve"> several</w:t>
      </w:r>
      <w:r w:rsidRPr="00B77F00">
        <w:rPr>
          <w:lang w:val="en-AU"/>
        </w:rPr>
        <w:t xml:space="preserve"> issues which </w:t>
      </w:r>
      <w:r w:rsidR="008A724D">
        <w:rPr>
          <w:lang w:val="en-AU"/>
        </w:rPr>
        <w:t>may</w:t>
      </w:r>
      <w:r w:rsidR="008A724D" w:rsidRPr="00B77F00">
        <w:rPr>
          <w:lang w:val="en-AU"/>
        </w:rPr>
        <w:t xml:space="preserve"> </w:t>
      </w:r>
      <w:r w:rsidRPr="00B77F00">
        <w:rPr>
          <w:lang w:val="en-AU"/>
        </w:rPr>
        <w:t>indicat</w:t>
      </w:r>
      <w:r w:rsidR="008A724D">
        <w:rPr>
          <w:lang w:val="en-AU"/>
        </w:rPr>
        <w:t xml:space="preserve">e risks to students and non-compliance with obligations related to </w:t>
      </w:r>
      <w:r w:rsidR="002071BA">
        <w:rPr>
          <w:lang w:val="en-AU"/>
        </w:rPr>
        <w:t>learning resources and educational support</w:t>
      </w:r>
      <w:r w:rsidRPr="00B77F00">
        <w:rPr>
          <w:lang w:val="en-AU"/>
        </w:rPr>
        <w:t xml:space="preserve">. These include, but are not limited to: </w:t>
      </w:r>
    </w:p>
    <w:p w14:paraId="2C70449C" w14:textId="3399672E" w:rsidR="00CC5CE7" w:rsidRDefault="00EC4675" w:rsidP="00B422EC">
      <w:pPr>
        <w:pStyle w:val="Bullet1"/>
      </w:pPr>
      <w:r>
        <w:t xml:space="preserve">students not being made aware of the cost </w:t>
      </w:r>
      <w:r w:rsidR="00A71012">
        <w:t>of</w:t>
      </w:r>
      <w:r>
        <w:t xml:space="preserve"> </w:t>
      </w:r>
      <w:r w:rsidR="00516B53">
        <w:t>resources required for</w:t>
      </w:r>
      <w:r w:rsidR="00A71012">
        <w:t xml:space="preserve"> a </w:t>
      </w:r>
      <w:r>
        <w:t xml:space="preserve">course </w:t>
      </w:r>
      <w:r w:rsidR="006648EA">
        <w:t>before accepting an offer</w:t>
      </w:r>
    </w:p>
    <w:p w14:paraId="6065B9E7" w14:textId="5A336D7C" w:rsidR="00A71012" w:rsidRDefault="00A71012" w:rsidP="00B422EC">
      <w:pPr>
        <w:pStyle w:val="Bullet1"/>
      </w:pPr>
      <w:r>
        <w:t>students not being made aware of how to access information and resources</w:t>
      </w:r>
      <w:r w:rsidR="008A724D">
        <w:t xml:space="preserve"> relevant to their course of study</w:t>
      </w:r>
      <w:r>
        <w:t xml:space="preserve"> </w:t>
      </w:r>
    </w:p>
    <w:p w14:paraId="5C9B23F2" w14:textId="51439FCA" w:rsidR="00A71012" w:rsidRDefault="00A71012" w:rsidP="00B422EC">
      <w:pPr>
        <w:pStyle w:val="Bullet1"/>
      </w:pPr>
      <w:r>
        <w:t>inadequate monitoring of the performance of subgroups</w:t>
      </w:r>
      <w:r w:rsidR="008A724D">
        <w:t xml:space="preserve"> of student cohorts</w:t>
      </w:r>
      <w:r>
        <w:t xml:space="preserve"> to improve </w:t>
      </w:r>
      <w:r w:rsidR="00255C9C">
        <w:t>learning</w:t>
      </w:r>
      <w:r>
        <w:t xml:space="preserve"> resources</w:t>
      </w:r>
      <w:r w:rsidR="003804BF">
        <w:t xml:space="preserve"> and educational support</w:t>
      </w:r>
      <w:r w:rsidR="0081436A">
        <w:t xml:space="preserve">, </w:t>
      </w:r>
      <w:r w:rsidR="0094771D">
        <w:t xml:space="preserve">which can negatively impact </w:t>
      </w:r>
      <w:r w:rsidR="008A724D">
        <w:t xml:space="preserve">the </w:t>
      </w:r>
      <w:r w:rsidR="0094771D">
        <w:t>subgroup</w:t>
      </w:r>
      <w:r w:rsidR="008A724D">
        <w:t>s’</w:t>
      </w:r>
      <w:r w:rsidR="0094771D">
        <w:t xml:space="preserve"> progression and completion rates</w:t>
      </w:r>
    </w:p>
    <w:p w14:paraId="36A06FA8" w14:textId="2A55F94D" w:rsidR="00A74DA6" w:rsidRDefault="00A71012" w:rsidP="00B422EC">
      <w:pPr>
        <w:pStyle w:val="Bullet1"/>
      </w:pPr>
      <w:r>
        <w:t xml:space="preserve">using </w:t>
      </w:r>
      <w:r w:rsidR="00A74DA6">
        <w:t xml:space="preserve">poor quality resources </w:t>
      </w:r>
      <w:r w:rsidR="008D65F4">
        <w:t xml:space="preserve">in </w:t>
      </w:r>
      <w:r w:rsidR="003804BF">
        <w:t xml:space="preserve">a </w:t>
      </w:r>
      <w:r w:rsidR="008D65F4">
        <w:t>course of study</w:t>
      </w:r>
      <w:r w:rsidR="00A74DA6">
        <w:t xml:space="preserve"> (e.g. irrelevant, obsolete, non-authoritative material)</w:t>
      </w:r>
      <w:r w:rsidR="00350E1F">
        <w:t xml:space="preserve"> including </w:t>
      </w:r>
      <w:r w:rsidR="00EC4675">
        <w:t>outdated versions of textbooks in its library</w:t>
      </w:r>
      <w:r w:rsidR="00350E1F">
        <w:t>.</w:t>
      </w:r>
      <w:r w:rsidR="00EC4675">
        <w:t xml:space="preserve"> </w:t>
      </w:r>
    </w:p>
    <w:p w14:paraId="18375BEE" w14:textId="47EA58B3" w:rsidR="008A724D" w:rsidRDefault="00A71012" w:rsidP="008A724D">
      <w:pPr>
        <w:pStyle w:val="Bullet1"/>
      </w:pPr>
      <w:r>
        <w:t xml:space="preserve">students facing </w:t>
      </w:r>
      <w:r w:rsidR="00A74DA6">
        <w:t>barrie</w:t>
      </w:r>
      <w:r w:rsidR="00567991">
        <w:t>r</w:t>
      </w:r>
      <w:r w:rsidR="00A74DA6">
        <w:t>s to access</w:t>
      </w:r>
      <w:r w:rsidR="008A724D">
        <w:t>ing resources</w:t>
      </w:r>
      <w:r>
        <w:t xml:space="preserve"> </w:t>
      </w:r>
      <w:r w:rsidR="008A724D">
        <w:t>such as</w:t>
      </w:r>
      <w:r w:rsidR="003804BF">
        <w:t>:</w:t>
      </w:r>
      <w:r w:rsidR="008A724D">
        <w:t xml:space="preserve"> </w:t>
      </w:r>
    </w:p>
    <w:p w14:paraId="04E500FC" w14:textId="38C98C00" w:rsidR="008A724D" w:rsidRDefault="008A724D" w:rsidP="008A724D">
      <w:pPr>
        <w:pStyle w:val="Bullet1"/>
        <w:numPr>
          <w:ilvl w:val="1"/>
          <w:numId w:val="15"/>
        </w:numPr>
      </w:pPr>
      <w:r>
        <w:t>being required to use uncommon or unreasonably costly software</w:t>
      </w:r>
    </w:p>
    <w:p w14:paraId="6F77171F" w14:textId="3F49CE8C" w:rsidR="008A724D" w:rsidRDefault="00EA763A" w:rsidP="008A724D">
      <w:pPr>
        <w:pStyle w:val="Bullet1"/>
        <w:numPr>
          <w:ilvl w:val="1"/>
          <w:numId w:val="15"/>
        </w:numPr>
      </w:pPr>
      <w:r>
        <w:t>having limited access to science or computer labs that are only open during regular working hours</w:t>
      </w:r>
    </w:p>
    <w:p w14:paraId="20C7A33F" w14:textId="42AB7AF4" w:rsidR="00917539" w:rsidRDefault="00917539" w:rsidP="008A724D">
      <w:pPr>
        <w:pStyle w:val="Bullet1"/>
        <w:numPr>
          <w:ilvl w:val="1"/>
          <w:numId w:val="15"/>
        </w:numPr>
      </w:pPr>
      <w:r>
        <w:t>access to online resources requires impractically high internet speeds</w:t>
      </w:r>
    </w:p>
    <w:p w14:paraId="36B1DA0F" w14:textId="3AAB59E4" w:rsidR="00EA763A" w:rsidRDefault="00EA763A" w:rsidP="008A724D">
      <w:pPr>
        <w:pStyle w:val="Bullet1"/>
        <w:numPr>
          <w:ilvl w:val="1"/>
          <w:numId w:val="15"/>
        </w:numPr>
      </w:pPr>
      <w:r>
        <w:t>an online-only student, being unable to access learning materials because they are only available to students attending on campus</w:t>
      </w:r>
    </w:p>
    <w:p w14:paraId="188ADA40" w14:textId="0D85A6F5" w:rsidR="00EA763A" w:rsidRDefault="00EA763A" w:rsidP="008A724D">
      <w:pPr>
        <w:pStyle w:val="Bullet1"/>
        <w:numPr>
          <w:ilvl w:val="1"/>
          <w:numId w:val="15"/>
        </w:numPr>
      </w:pPr>
      <w:r>
        <w:t xml:space="preserve">a student with a disability being unable to access learning materials because they are not in the form </w:t>
      </w:r>
      <w:r w:rsidR="003B6641">
        <w:t>the student needs to be able to use or access them</w:t>
      </w:r>
      <w:r w:rsidR="005F44F5">
        <w:t>.</w:t>
      </w:r>
      <w:r>
        <w:t xml:space="preserve"> </w:t>
      </w:r>
    </w:p>
    <w:p w14:paraId="08B7BE62" w14:textId="1E989F89" w:rsidR="00ED0575" w:rsidRDefault="00ED0575" w:rsidP="00B422EC">
      <w:pPr>
        <w:pStyle w:val="Bullet1"/>
      </w:pPr>
      <w:r>
        <w:lastRenderedPageBreak/>
        <w:t xml:space="preserve">students not receiving </w:t>
      </w:r>
      <w:r w:rsidR="00260A5A">
        <w:t xml:space="preserve">timely and/or sufficient </w:t>
      </w:r>
      <w:r>
        <w:t xml:space="preserve">feedback </w:t>
      </w:r>
      <w:r w:rsidR="00260A5A">
        <w:t xml:space="preserve">on </w:t>
      </w:r>
      <w:r>
        <w:t>assessment</w:t>
      </w:r>
      <w:r w:rsidR="00260A5A">
        <w:t>s.</w:t>
      </w:r>
      <w:r>
        <w:t xml:space="preserve"> This may lead to students being unaware they are at academic risk until too late in the </w:t>
      </w:r>
      <w:r w:rsidR="00C87A20">
        <w:t xml:space="preserve">study period </w:t>
      </w:r>
      <w:r w:rsidR="008A724D">
        <w:t>to take corrective action</w:t>
      </w:r>
      <w:r w:rsidR="00C87A20">
        <w:t>.</w:t>
      </w:r>
    </w:p>
    <w:p w14:paraId="51E831BE" w14:textId="77777777" w:rsidR="008E696C" w:rsidRDefault="008E696C" w:rsidP="008E696C">
      <w:pPr>
        <w:pStyle w:val="Heading2"/>
      </w:pPr>
      <w:r>
        <w:t>Related resources</w:t>
      </w:r>
    </w:p>
    <w:p w14:paraId="0B1022AD" w14:textId="79540163" w:rsidR="00B065C9" w:rsidRPr="007F39AB" w:rsidRDefault="00B065C9" w:rsidP="00B422EC">
      <w:pPr>
        <w:pStyle w:val="Bullet1"/>
      </w:pPr>
      <w:r w:rsidRPr="007F39AB">
        <w:t>Guidance note: Facilities and Infrastructure (under development)</w:t>
      </w:r>
      <w:r w:rsidR="007F39AB">
        <w:t xml:space="preserve"> </w:t>
      </w:r>
      <w:r w:rsidR="00431A7A">
        <w:t>[</w:t>
      </w:r>
      <w:r w:rsidR="00431A7A" w:rsidRPr="007F39AB">
        <w:rPr>
          <w:highlight w:val="yellow"/>
        </w:rPr>
        <w:t>hyperlink forthcoming</w:t>
      </w:r>
      <w:r w:rsidR="00431A7A">
        <w:t>]</w:t>
      </w:r>
    </w:p>
    <w:p w14:paraId="6C7D166F" w14:textId="3CCD979C" w:rsidR="00B065C9" w:rsidRPr="007F39AB" w:rsidRDefault="00B065C9" w:rsidP="00B422EC">
      <w:pPr>
        <w:pStyle w:val="Bullet1"/>
      </w:pPr>
      <w:r w:rsidRPr="007F39AB">
        <w:t>Guidance note: Wellbeing and Safety (under development)</w:t>
      </w:r>
      <w:r w:rsidR="007F39AB">
        <w:t xml:space="preserve"> </w:t>
      </w:r>
      <w:r w:rsidR="00431A7A">
        <w:t>[</w:t>
      </w:r>
      <w:r w:rsidR="00431A7A" w:rsidRPr="007F39AB">
        <w:rPr>
          <w:highlight w:val="yellow"/>
        </w:rPr>
        <w:t>hyperlink forthcoming</w:t>
      </w:r>
      <w:r w:rsidR="00431A7A">
        <w:t>]</w:t>
      </w:r>
    </w:p>
    <w:p w14:paraId="53C93524" w14:textId="76C283E8" w:rsidR="008E696C" w:rsidRPr="007F39AB" w:rsidRDefault="00B065C9" w:rsidP="00B422EC">
      <w:pPr>
        <w:pStyle w:val="Bullet1"/>
      </w:pPr>
      <w:r w:rsidRPr="007F39AB">
        <w:t>Guidance note: Diversity and Equity (under development)</w:t>
      </w:r>
      <w:r w:rsidR="007F39AB">
        <w:t xml:space="preserve"> </w:t>
      </w:r>
      <w:r w:rsidR="00431A7A">
        <w:t>[</w:t>
      </w:r>
      <w:r w:rsidR="00431A7A" w:rsidRPr="007F39AB">
        <w:rPr>
          <w:highlight w:val="yellow"/>
        </w:rPr>
        <w:t>hyperlink forthcoming</w:t>
      </w:r>
      <w:r w:rsidR="00431A7A">
        <w:t>]</w:t>
      </w:r>
    </w:p>
    <w:p w14:paraId="71F80E7E" w14:textId="7CD41886" w:rsidR="00B065C9" w:rsidRPr="007F39AB" w:rsidRDefault="00431A7A" w:rsidP="00B422EC">
      <w:pPr>
        <w:pStyle w:val="Bullet1"/>
        <w:rPr>
          <w:rStyle w:val="Hyperlink"/>
          <w:color w:val="000000" w:themeColor="text1"/>
          <w:u w:val="none"/>
        </w:rPr>
      </w:pPr>
      <w:hyperlink r:id="rId16" w:history="1">
        <w:r w:rsidR="00B065C9" w:rsidRPr="007F39AB">
          <w:rPr>
            <w:rStyle w:val="Hyperlink"/>
          </w:rPr>
          <w:t>Guidance note: Research and Research Training</w:t>
        </w:r>
      </w:hyperlink>
    </w:p>
    <w:p w14:paraId="6FBDDA24" w14:textId="7451721C" w:rsidR="00774A52" w:rsidRPr="007F39AB" w:rsidRDefault="00431A7A" w:rsidP="00B422EC">
      <w:pPr>
        <w:pStyle w:val="Bullet1"/>
      </w:pPr>
      <w:hyperlink r:id="rId17" w:history="1">
        <w:r w:rsidR="00774A52" w:rsidRPr="007F39AB">
          <w:rPr>
            <w:rStyle w:val="Hyperlink"/>
          </w:rPr>
          <w:t>Higher Education Support Act 2003</w:t>
        </w:r>
      </w:hyperlink>
    </w:p>
    <w:p w14:paraId="49976737" w14:textId="505F76C1" w:rsidR="00FF70B7" w:rsidRPr="00B77F00" w:rsidRDefault="00FF70B7" w:rsidP="00FF70B7"/>
    <w:p w14:paraId="795BB8C7" w14:textId="77777777" w:rsidR="00FF70B7" w:rsidRPr="00B77F00" w:rsidRDefault="00FF70B7" w:rsidP="00FF70B7">
      <w:pPr>
        <w:jc w:val="right"/>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759C1" w:rsidRPr="00B77F00" w14:paraId="2C4C8AAF" w14:textId="77777777" w:rsidTr="0066741F">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BFF7383" w14:textId="64384C76" w:rsidR="00B759C1" w:rsidRPr="00B77F00" w:rsidRDefault="00B759C1" w:rsidP="009F5D9A">
            <w:pPr>
              <w:pStyle w:val="Normal1"/>
              <w:spacing w:line="240" w:lineRule="auto"/>
              <w:rPr>
                <w:b/>
                <w:color w:val="E7E6E6" w:themeColor="background2"/>
                <w:sz w:val="20"/>
                <w:szCs w:val="20"/>
              </w:rPr>
            </w:pPr>
            <w:r w:rsidRPr="00B77F00">
              <w:rPr>
                <w:b/>
                <w:color w:val="E7E6E6" w:themeColor="background2"/>
                <w:sz w:val="20"/>
                <w:szCs w:val="20"/>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1FF51F0" w14:textId="77777777" w:rsidR="00B759C1" w:rsidRPr="00B77F00" w:rsidRDefault="00B759C1" w:rsidP="009F5D9A">
            <w:pPr>
              <w:pStyle w:val="Normal1"/>
              <w:spacing w:line="240" w:lineRule="auto"/>
              <w:rPr>
                <w:b/>
                <w:color w:val="E7E6E6" w:themeColor="background2"/>
                <w:sz w:val="20"/>
                <w:szCs w:val="20"/>
              </w:rPr>
            </w:pPr>
            <w:r w:rsidRPr="00B77F00">
              <w:rPr>
                <w:b/>
                <w:color w:val="E7E6E6" w:themeColor="background2"/>
                <w:sz w:val="20"/>
                <w:szCs w:val="20"/>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6AF74CDC" w14:textId="77777777" w:rsidR="00B759C1" w:rsidRPr="00B77F00" w:rsidRDefault="00B759C1" w:rsidP="009F5D9A">
            <w:pPr>
              <w:pStyle w:val="Normal1"/>
              <w:spacing w:line="240" w:lineRule="auto"/>
              <w:rPr>
                <w:b/>
                <w:color w:val="E7E6E6" w:themeColor="background2"/>
                <w:sz w:val="20"/>
                <w:szCs w:val="20"/>
              </w:rPr>
            </w:pPr>
            <w:r w:rsidRPr="00B77F00">
              <w:rPr>
                <w:b/>
                <w:color w:val="E7E6E6" w:themeColor="background2"/>
                <w:sz w:val="20"/>
                <w:szCs w:val="20"/>
              </w:rPr>
              <w:t>Key changes</w:t>
            </w:r>
          </w:p>
        </w:tc>
      </w:tr>
      <w:tr w:rsidR="00B759C1" w:rsidRPr="00B77F00" w14:paraId="6E946C88" w14:textId="77777777" w:rsidTr="009F5D9A">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F7131AC" w14:textId="1C6A9656" w:rsidR="00B759C1" w:rsidRPr="00B77F00" w:rsidRDefault="00B759C1" w:rsidP="009F5D9A">
            <w:pPr>
              <w:pStyle w:val="Normal1"/>
              <w:spacing w:line="240" w:lineRule="auto"/>
              <w:rPr>
                <w:sz w:val="20"/>
                <w:szCs w:val="20"/>
              </w:rPr>
            </w:pP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048B3BA6" w14:textId="0398EA8B" w:rsidR="00B759C1" w:rsidRPr="00B77F00" w:rsidRDefault="00B759C1" w:rsidP="009F5D9A">
            <w:pPr>
              <w:pStyle w:val="Normal1"/>
              <w:spacing w:line="240" w:lineRule="auto"/>
              <w:rPr>
                <w:sz w:val="20"/>
                <w:szCs w:val="20"/>
              </w:rPr>
            </w:pP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6C7C1091" w14:textId="77777777" w:rsidR="00B759C1" w:rsidRPr="00B77F00" w:rsidRDefault="00B759C1" w:rsidP="009F5D9A">
            <w:pPr>
              <w:pStyle w:val="Normal1"/>
              <w:spacing w:line="240" w:lineRule="auto"/>
              <w:rPr>
                <w:sz w:val="20"/>
                <w:szCs w:val="20"/>
              </w:rPr>
            </w:pPr>
          </w:p>
        </w:tc>
      </w:tr>
      <w:tr w:rsidR="00B759C1" w:rsidRPr="00B77F00" w14:paraId="0884893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F147FF0" w14:textId="247726EC" w:rsidR="00B759C1" w:rsidRPr="00B77F00"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07CEEA1" w14:textId="2E80F657" w:rsidR="00B759C1" w:rsidRPr="00B77F00" w:rsidRDefault="00B759C1" w:rsidP="009F5D9A">
            <w:pPr>
              <w:pStyle w:val="Normal1"/>
              <w:spacing w:line="240" w:lineRule="auto"/>
              <w:rPr>
                <w:sz w:val="20"/>
                <w:szCs w:val="20"/>
                <w:highlight w:val="yellow"/>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3DB8B87" w14:textId="401631CA" w:rsidR="00B759C1" w:rsidRPr="00B77F00" w:rsidRDefault="00B759C1" w:rsidP="009F5D9A">
            <w:pPr>
              <w:pStyle w:val="Normal1"/>
              <w:spacing w:line="240" w:lineRule="auto"/>
              <w:rPr>
                <w:sz w:val="20"/>
                <w:szCs w:val="20"/>
              </w:rPr>
            </w:pPr>
          </w:p>
        </w:tc>
      </w:tr>
      <w:tr w:rsidR="00B759C1" w:rsidRPr="00B77F00" w14:paraId="5C1981F5"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91E923" w14:textId="7111AB0B" w:rsidR="00B759C1" w:rsidRPr="00B77F00"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BA9C6D7" w14:textId="1377AC17" w:rsidR="00B759C1" w:rsidRPr="00B77F00"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B3E3239" w14:textId="0A1CF1DF" w:rsidR="00B759C1" w:rsidRPr="00B77F00" w:rsidRDefault="00B759C1" w:rsidP="009F5D9A">
            <w:pPr>
              <w:pStyle w:val="Normal1"/>
              <w:spacing w:line="240" w:lineRule="auto"/>
              <w:rPr>
                <w:sz w:val="20"/>
                <w:szCs w:val="20"/>
              </w:rPr>
            </w:pPr>
          </w:p>
        </w:tc>
      </w:tr>
      <w:tr w:rsidR="00B759C1" w:rsidRPr="00B77F00" w14:paraId="777EAD00"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B7842" w14:textId="46303592" w:rsidR="00B759C1" w:rsidRPr="00B77F00"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C61572A" w14:textId="03E6BEBE" w:rsidR="00B759C1" w:rsidRPr="00B77F00"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D59C244" w14:textId="4DDBCA25" w:rsidR="00B759C1" w:rsidRPr="00B77F00" w:rsidRDefault="00B759C1" w:rsidP="009F5D9A">
            <w:pPr>
              <w:pStyle w:val="Normal1"/>
              <w:spacing w:line="240" w:lineRule="auto"/>
              <w:rPr>
                <w:sz w:val="20"/>
                <w:szCs w:val="20"/>
              </w:rPr>
            </w:pPr>
          </w:p>
        </w:tc>
      </w:tr>
    </w:tbl>
    <w:p w14:paraId="5101D4CC" w14:textId="18248379" w:rsidR="00B759C1" w:rsidRPr="00B77F00" w:rsidRDefault="00B759C1">
      <w:pPr>
        <w:pStyle w:val="BulletsL1"/>
        <w:numPr>
          <w:ilvl w:val="0"/>
          <w:numId w:val="0"/>
        </w:numPr>
        <w:rPr>
          <w:rFonts w:cs="Arial"/>
          <w:lang w:val="en-AU"/>
        </w:rPr>
      </w:pPr>
    </w:p>
    <w:sectPr w:rsidR="00B759C1" w:rsidRPr="00B77F00" w:rsidSect="00EC5DD6">
      <w:headerReference w:type="even" r:id="rId18"/>
      <w:headerReference w:type="default" r:id="rId19"/>
      <w:footerReference w:type="even" r:id="rId20"/>
      <w:footerReference w:type="default" r:id="rId21"/>
      <w:headerReference w:type="first" r:id="rId22"/>
      <w:footerReference w:type="first" r:id="rId23"/>
      <w:pgSz w:w="11906" w:h="16838"/>
      <w:pgMar w:top="1560" w:right="1440" w:bottom="709" w:left="1440" w:header="567"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7B13" w14:textId="77777777" w:rsidR="004C31EE" w:rsidRDefault="004C31EE" w:rsidP="006C328D">
      <w:pPr>
        <w:spacing w:before="0" w:after="0"/>
      </w:pPr>
      <w:r>
        <w:separator/>
      </w:r>
    </w:p>
  </w:endnote>
  <w:endnote w:type="continuationSeparator" w:id="0">
    <w:p w14:paraId="286C39EF" w14:textId="77777777" w:rsidR="004C31EE" w:rsidRDefault="004C31EE" w:rsidP="006C328D">
      <w:pPr>
        <w:spacing w:before="0" w:after="0"/>
      </w:pPr>
      <w:r>
        <w:continuationSeparator/>
      </w:r>
    </w:p>
  </w:endnote>
  <w:endnote w:type="continuationNotice" w:id="1">
    <w:p w14:paraId="5A274797" w14:textId="77777777" w:rsidR="004C31EE" w:rsidRDefault="004C31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99D0" w14:textId="348278A3" w:rsidR="008A3258" w:rsidRDefault="008A3258">
    <w:pPr>
      <w:pStyle w:val="Footer"/>
    </w:pPr>
    <w:r>
      <w:rPr>
        <w:noProof/>
      </w:rPr>
      <mc:AlternateContent>
        <mc:Choice Requires="wps">
          <w:drawing>
            <wp:anchor distT="0" distB="0" distL="114300" distR="114300" simplePos="0" relativeHeight="251664384" behindDoc="0" locked="1" layoutInCell="0" allowOverlap="1" wp14:anchorId="0C5AD34B" wp14:editId="5E171F48">
              <wp:simplePos x="0" y="0"/>
              <wp:positionH relativeFrom="margin">
                <wp:align>center</wp:align>
              </wp:positionH>
              <wp:positionV relativeFrom="bottomMargin">
                <wp:align>center</wp:align>
              </wp:positionV>
              <wp:extent cx="892175" cy="273050"/>
              <wp:effectExtent l="0" t="0" r="0" b="0"/>
              <wp:wrapNone/>
              <wp:docPr id="1064991381"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F3570B" w14:textId="7C454661" w:rsidR="008A3258" w:rsidRPr="008A3258" w:rsidRDefault="008A3258" w:rsidP="008A3258">
                          <w:pPr>
                            <w:spacing w:before="0" w:after="0"/>
                            <w:jc w:val="center"/>
                            <w:rPr>
                              <w:b/>
                              <w:color w:val="FF0000"/>
                              <w:sz w:val="24"/>
                            </w:rPr>
                          </w:pPr>
                          <w:r w:rsidRPr="008A3258">
                            <w:rPr>
                              <w:b/>
                              <w:color w:val="FF0000"/>
                              <w:sz w:val="24"/>
                            </w:rPr>
                            <w:fldChar w:fldCharType="begin"/>
                          </w:r>
                          <w:r w:rsidRPr="008A3258">
                            <w:rPr>
                              <w:b/>
                              <w:color w:val="FF0000"/>
                              <w:sz w:val="24"/>
                            </w:rPr>
                            <w:instrText xml:space="preserve"> DOCPROPERTY PM_ProtectiveMarkingValue_Footer \* MERGEFORMAT </w:instrText>
                          </w:r>
                          <w:r w:rsidRPr="008A3258">
                            <w:rPr>
                              <w:b/>
                              <w:color w:val="FF0000"/>
                              <w:sz w:val="24"/>
                            </w:rPr>
                            <w:fldChar w:fldCharType="separate"/>
                          </w:r>
                          <w:r w:rsidR="00431A7A">
                            <w:rPr>
                              <w:b/>
                              <w:color w:val="FF0000"/>
                              <w:sz w:val="24"/>
                            </w:rPr>
                            <w:t>OFFICIAL</w:t>
                          </w:r>
                          <w:r w:rsidRPr="008A325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5AD34B" id="_x0000_t202" coordsize="21600,21600" o:spt="202" path="m,l,21600r21600,l21600,xe">
              <v:stroke joinstyle="miter"/>
              <v:path gradientshapeok="t" o:connecttype="rect"/>
            </v:shapetype>
            <v:shape id="janusSEAL SC F_EvenPage" o:spid="_x0000_s1028" type="#_x0000_t202" style="position:absolute;margin-left:0;margin-top:0;width:70.25pt;height:21.5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0CF3570B" w14:textId="7C454661" w:rsidR="008A3258" w:rsidRPr="008A3258" w:rsidRDefault="008A3258" w:rsidP="008A3258">
                    <w:pPr>
                      <w:spacing w:before="0" w:after="0"/>
                      <w:jc w:val="center"/>
                      <w:rPr>
                        <w:b/>
                        <w:color w:val="FF0000"/>
                        <w:sz w:val="24"/>
                      </w:rPr>
                    </w:pPr>
                    <w:r w:rsidRPr="008A3258">
                      <w:rPr>
                        <w:b/>
                        <w:color w:val="FF0000"/>
                        <w:sz w:val="24"/>
                      </w:rPr>
                      <w:fldChar w:fldCharType="begin"/>
                    </w:r>
                    <w:r w:rsidRPr="008A3258">
                      <w:rPr>
                        <w:b/>
                        <w:color w:val="FF0000"/>
                        <w:sz w:val="24"/>
                      </w:rPr>
                      <w:instrText xml:space="preserve"> DOCPROPERTY PM_ProtectiveMarkingValue_Footer \* MERGEFORMAT </w:instrText>
                    </w:r>
                    <w:r w:rsidRPr="008A3258">
                      <w:rPr>
                        <w:b/>
                        <w:color w:val="FF0000"/>
                        <w:sz w:val="24"/>
                      </w:rPr>
                      <w:fldChar w:fldCharType="separate"/>
                    </w:r>
                    <w:r w:rsidR="00431A7A">
                      <w:rPr>
                        <w:b/>
                        <w:color w:val="FF0000"/>
                        <w:sz w:val="24"/>
                      </w:rPr>
                      <w:t>OFFICIAL</w:t>
                    </w:r>
                    <w:r w:rsidRPr="008A3258">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1057" w14:textId="22B29286" w:rsidR="009F5D9A" w:rsidRPr="00FF2540" w:rsidRDefault="008A3258">
    <w:pPr>
      <w:pStyle w:val="Footer"/>
      <w:jc w:val="right"/>
      <w:rPr>
        <w:color w:val="00847E" w:themeColor="accent1"/>
        <w:sz w:val="20"/>
        <w:szCs w:val="20"/>
      </w:rPr>
    </w:pPr>
    <w:r>
      <w:rPr>
        <w:noProof/>
        <w:color w:val="00847E" w:themeColor="accent1"/>
        <w:sz w:val="20"/>
        <w:szCs w:val="20"/>
      </w:rPr>
      <mc:AlternateContent>
        <mc:Choice Requires="wps">
          <w:drawing>
            <wp:anchor distT="0" distB="0" distL="114300" distR="114300" simplePos="0" relativeHeight="251662336" behindDoc="0" locked="1" layoutInCell="0" allowOverlap="1" wp14:anchorId="37ABD800" wp14:editId="093AF608">
              <wp:simplePos x="0" y="0"/>
              <wp:positionH relativeFrom="margin">
                <wp:align>center</wp:align>
              </wp:positionH>
              <wp:positionV relativeFrom="bottomMargin">
                <wp:align>center</wp:align>
              </wp:positionV>
              <wp:extent cx="892175" cy="273050"/>
              <wp:effectExtent l="0" t="0" r="0" b="0"/>
              <wp:wrapNone/>
              <wp:docPr id="2121897904"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00633" w14:textId="4C81A9A4" w:rsidR="008A3258" w:rsidRPr="008A3258" w:rsidRDefault="008A3258" w:rsidP="008A3258">
                          <w:pPr>
                            <w:spacing w:before="0" w:after="0"/>
                            <w:jc w:val="center"/>
                            <w:rPr>
                              <w:b/>
                              <w:color w:val="FF0000"/>
                              <w:sz w:val="24"/>
                            </w:rPr>
                          </w:pPr>
                          <w:r w:rsidRPr="008A3258">
                            <w:rPr>
                              <w:b/>
                              <w:color w:val="FF0000"/>
                              <w:sz w:val="24"/>
                            </w:rPr>
                            <w:fldChar w:fldCharType="begin"/>
                          </w:r>
                          <w:r w:rsidRPr="008A3258">
                            <w:rPr>
                              <w:b/>
                              <w:color w:val="FF0000"/>
                              <w:sz w:val="24"/>
                            </w:rPr>
                            <w:instrText xml:space="preserve"> DOCPROPERTY PM_ProtectiveMarkingValue_Footer \* MERGEFORMAT </w:instrText>
                          </w:r>
                          <w:r w:rsidRPr="008A3258">
                            <w:rPr>
                              <w:b/>
                              <w:color w:val="FF0000"/>
                              <w:sz w:val="24"/>
                            </w:rPr>
                            <w:fldChar w:fldCharType="separate"/>
                          </w:r>
                          <w:r w:rsidR="00431A7A">
                            <w:rPr>
                              <w:b/>
                              <w:color w:val="FF0000"/>
                              <w:sz w:val="24"/>
                            </w:rPr>
                            <w:t>OFFICIAL</w:t>
                          </w:r>
                          <w:r w:rsidRPr="008A325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ABD800" id="_x0000_t202" coordsize="21600,21600" o:spt="202" path="m,l,21600r21600,l21600,xe">
              <v:stroke joinstyle="miter"/>
              <v:path gradientshapeok="t" o:connecttype="rect"/>
            </v:shapetype>
            <v:shape id="janusSEAL SC Footer" o:spid="_x0000_s1029" type="#_x0000_t202" style="position:absolute;left:0;text-align:left;margin-left:0;margin-top:0;width:70.25pt;height:21.5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40F00633" w14:textId="4C81A9A4" w:rsidR="008A3258" w:rsidRPr="008A3258" w:rsidRDefault="008A3258" w:rsidP="008A3258">
                    <w:pPr>
                      <w:spacing w:before="0" w:after="0"/>
                      <w:jc w:val="center"/>
                      <w:rPr>
                        <w:b/>
                        <w:color w:val="FF0000"/>
                        <w:sz w:val="24"/>
                      </w:rPr>
                    </w:pPr>
                    <w:r w:rsidRPr="008A3258">
                      <w:rPr>
                        <w:b/>
                        <w:color w:val="FF0000"/>
                        <w:sz w:val="24"/>
                      </w:rPr>
                      <w:fldChar w:fldCharType="begin"/>
                    </w:r>
                    <w:r w:rsidRPr="008A3258">
                      <w:rPr>
                        <w:b/>
                        <w:color w:val="FF0000"/>
                        <w:sz w:val="24"/>
                      </w:rPr>
                      <w:instrText xml:space="preserve"> DOCPROPERTY PM_ProtectiveMarkingValue_Footer \* MERGEFORMAT </w:instrText>
                    </w:r>
                    <w:r w:rsidRPr="008A3258">
                      <w:rPr>
                        <w:b/>
                        <w:color w:val="FF0000"/>
                        <w:sz w:val="24"/>
                      </w:rPr>
                      <w:fldChar w:fldCharType="separate"/>
                    </w:r>
                    <w:r w:rsidR="00431A7A">
                      <w:rPr>
                        <w:b/>
                        <w:color w:val="FF0000"/>
                        <w:sz w:val="24"/>
                      </w:rPr>
                      <w:t>OFFICIAL</w:t>
                    </w:r>
                    <w:r w:rsidRPr="008A3258">
                      <w:rPr>
                        <w:b/>
                        <w:color w:val="FF0000"/>
                        <w:sz w:val="24"/>
                      </w:rPr>
                      <w:fldChar w:fldCharType="end"/>
                    </w:r>
                  </w:p>
                </w:txbxContent>
              </v:textbox>
              <w10:wrap anchorx="margin" anchory="margin"/>
              <w10:anchorlock/>
            </v:shape>
          </w:pict>
        </mc:Fallback>
      </mc:AlternateContent>
    </w:r>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r w:rsidR="009F5D9A" w:rsidRPr="00FF70B7">
              <w:rPr>
                <w:color w:val="004D7D"/>
                <w:sz w:val="20"/>
                <w:szCs w:val="20"/>
              </w:rPr>
              <w:t xml:space="preserve">Page </w:t>
            </w:r>
            <w:r w:rsidR="009F5D9A" w:rsidRPr="00FF70B7">
              <w:rPr>
                <w:b/>
                <w:bCs/>
                <w:color w:val="004D7D"/>
                <w:sz w:val="20"/>
                <w:szCs w:val="20"/>
              </w:rPr>
              <w:fldChar w:fldCharType="begin"/>
            </w:r>
            <w:r w:rsidR="009F5D9A" w:rsidRPr="00FF70B7">
              <w:rPr>
                <w:b/>
                <w:bCs/>
                <w:color w:val="004D7D"/>
                <w:sz w:val="20"/>
                <w:szCs w:val="20"/>
              </w:rPr>
              <w:instrText xml:space="preserve"> PAGE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r w:rsidR="009F5D9A" w:rsidRPr="00FF70B7">
              <w:rPr>
                <w:color w:val="004D7D"/>
                <w:sz w:val="20"/>
                <w:szCs w:val="20"/>
              </w:rPr>
              <w:t xml:space="preserve"> of </w:t>
            </w:r>
            <w:r w:rsidR="009F5D9A" w:rsidRPr="00FF70B7">
              <w:rPr>
                <w:b/>
                <w:bCs/>
                <w:color w:val="004D7D"/>
                <w:sz w:val="20"/>
                <w:szCs w:val="20"/>
              </w:rPr>
              <w:fldChar w:fldCharType="begin"/>
            </w:r>
            <w:r w:rsidR="009F5D9A" w:rsidRPr="00FF70B7">
              <w:rPr>
                <w:b/>
                <w:bCs/>
                <w:color w:val="004D7D"/>
                <w:sz w:val="20"/>
                <w:szCs w:val="20"/>
              </w:rPr>
              <w:instrText xml:space="preserve"> NUMPAGES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sdtContent>
        </w:sdt>
      </w:sdtContent>
    </w:sdt>
  </w:p>
  <w:p w14:paraId="294FC6DA" w14:textId="77777777" w:rsidR="009F5D9A" w:rsidRDefault="009F5D9A" w:rsidP="00AE1FDB">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48D9" w14:textId="6A18F1E0" w:rsidR="008A3258" w:rsidRDefault="008A3258">
    <w:pPr>
      <w:pStyle w:val="Footer"/>
    </w:pPr>
    <w:r>
      <w:rPr>
        <w:noProof/>
      </w:rPr>
      <mc:AlternateContent>
        <mc:Choice Requires="wps">
          <w:drawing>
            <wp:anchor distT="0" distB="0" distL="114300" distR="114300" simplePos="0" relativeHeight="251663360" behindDoc="0" locked="1" layoutInCell="0" allowOverlap="1" wp14:anchorId="5A041E20" wp14:editId="5260B6F0">
              <wp:simplePos x="0" y="0"/>
              <wp:positionH relativeFrom="margin">
                <wp:align>center</wp:align>
              </wp:positionH>
              <wp:positionV relativeFrom="bottomMargin">
                <wp:align>center</wp:align>
              </wp:positionV>
              <wp:extent cx="892175" cy="273050"/>
              <wp:effectExtent l="0" t="0" r="0" b="0"/>
              <wp:wrapNone/>
              <wp:docPr id="1847509535"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79359" w14:textId="68D50046" w:rsidR="008A3258" w:rsidRPr="008A3258" w:rsidRDefault="008A3258" w:rsidP="008A3258">
                          <w:pPr>
                            <w:spacing w:before="0" w:after="0"/>
                            <w:jc w:val="center"/>
                            <w:rPr>
                              <w:b/>
                              <w:color w:val="FF0000"/>
                              <w:sz w:val="24"/>
                            </w:rPr>
                          </w:pPr>
                          <w:r w:rsidRPr="008A3258">
                            <w:rPr>
                              <w:b/>
                              <w:color w:val="FF0000"/>
                              <w:sz w:val="24"/>
                            </w:rPr>
                            <w:fldChar w:fldCharType="begin"/>
                          </w:r>
                          <w:r w:rsidRPr="008A3258">
                            <w:rPr>
                              <w:b/>
                              <w:color w:val="FF0000"/>
                              <w:sz w:val="24"/>
                            </w:rPr>
                            <w:instrText xml:space="preserve"> DOCPROPERTY PM_ProtectiveMarkingValue_Footer \* MERGEFORMAT </w:instrText>
                          </w:r>
                          <w:r w:rsidRPr="008A3258">
                            <w:rPr>
                              <w:b/>
                              <w:color w:val="FF0000"/>
                              <w:sz w:val="24"/>
                            </w:rPr>
                            <w:fldChar w:fldCharType="separate"/>
                          </w:r>
                          <w:r w:rsidR="00431A7A">
                            <w:rPr>
                              <w:b/>
                              <w:color w:val="FF0000"/>
                              <w:sz w:val="24"/>
                            </w:rPr>
                            <w:t>OFFICIAL</w:t>
                          </w:r>
                          <w:r w:rsidRPr="008A325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041E20" id="_x0000_t202" coordsize="21600,21600" o:spt="202" path="m,l,21600r21600,l21600,xe">
              <v:stroke joinstyle="miter"/>
              <v:path gradientshapeok="t" o:connecttype="rect"/>
            </v:shapetype>
            <v:shape id="janusSEAL SC F_FirstPage" o:spid="_x0000_s1031" type="#_x0000_t202" style="position:absolute;margin-left:0;margin-top:0;width:70.25pt;height:21.5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60579359" w14:textId="68D50046" w:rsidR="008A3258" w:rsidRPr="008A3258" w:rsidRDefault="008A3258" w:rsidP="008A3258">
                    <w:pPr>
                      <w:spacing w:before="0" w:after="0"/>
                      <w:jc w:val="center"/>
                      <w:rPr>
                        <w:b/>
                        <w:color w:val="FF0000"/>
                        <w:sz w:val="24"/>
                      </w:rPr>
                    </w:pPr>
                    <w:r w:rsidRPr="008A3258">
                      <w:rPr>
                        <w:b/>
                        <w:color w:val="FF0000"/>
                        <w:sz w:val="24"/>
                      </w:rPr>
                      <w:fldChar w:fldCharType="begin"/>
                    </w:r>
                    <w:r w:rsidRPr="008A3258">
                      <w:rPr>
                        <w:b/>
                        <w:color w:val="FF0000"/>
                        <w:sz w:val="24"/>
                      </w:rPr>
                      <w:instrText xml:space="preserve"> DOCPROPERTY PM_ProtectiveMarkingValue_Footer \* MERGEFORMAT </w:instrText>
                    </w:r>
                    <w:r w:rsidRPr="008A3258">
                      <w:rPr>
                        <w:b/>
                        <w:color w:val="FF0000"/>
                        <w:sz w:val="24"/>
                      </w:rPr>
                      <w:fldChar w:fldCharType="separate"/>
                    </w:r>
                    <w:r w:rsidR="00431A7A">
                      <w:rPr>
                        <w:b/>
                        <w:color w:val="FF0000"/>
                        <w:sz w:val="24"/>
                      </w:rPr>
                      <w:t>OFFICIAL</w:t>
                    </w:r>
                    <w:r w:rsidRPr="008A3258">
                      <w:rPr>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4917" w14:textId="77777777" w:rsidR="004C31EE" w:rsidRDefault="004C31EE" w:rsidP="006C328D">
      <w:pPr>
        <w:spacing w:before="0" w:after="0"/>
      </w:pPr>
      <w:r>
        <w:separator/>
      </w:r>
    </w:p>
  </w:footnote>
  <w:footnote w:type="continuationSeparator" w:id="0">
    <w:p w14:paraId="2DA71CB5" w14:textId="77777777" w:rsidR="004C31EE" w:rsidRDefault="004C31EE" w:rsidP="006C328D">
      <w:pPr>
        <w:spacing w:before="0" w:after="0"/>
      </w:pPr>
      <w:r>
        <w:continuationSeparator/>
      </w:r>
    </w:p>
  </w:footnote>
  <w:footnote w:type="continuationNotice" w:id="1">
    <w:p w14:paraId="02D0B1C9" w14:textId="77777777" w:rsidR="004C31EE" w:rsidRDefault="004C31EE">
      <w:pPr>
        <w:spacing w:before="0" w:after="0"/>
      </w:pPr>
    </w:p>
  </w:footnote>
  <w:footnote w:id="2">
    <w:p w14:paraId="2F083E8B" w14:textId="4C04C4D6" w:rsidR="00CF6080" w:rsidRPr="00CF3015" w:rsidRDefault="00CF6080">
      <w:pPr>
        <w:pStyle w:val="FootnoteText"/>
        <w:rPr>
          <w:lang w:val="en-AU"/>
        </w:rPr>
      </w:pPr>
      <w:r>
        <w:rPr>
          <w:rStyle w:val="FootnoteReference"/>
        </w:rPr>
        <w:footnoteRef/>
      </w:r>
      <w:r>
        <w:t xml:space="preserve"> </w:t>
      </w:r>
      <w:r w:rsidRPr="008E75DD">
        <w:t xml:space="preserve">This is separate to supplemental material such as suggested reading, which a student may decide to </w:t>
      </w:r>
      <w:r>
        <w:t>acquire</w:t>
      </w:r>
      <w:r w:rsidRPr="008E75DD">
        <w:t xml:space="preserve"> on their own initiative.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6549" w14:textId="7981A498" w:rsidR="008A3258" w:rsidRDefault="008A3258">
    <w:pPr>
      <w:pStyle w:val="Header"/>
    </w:pPr>
    <w:r>
      <w:rPr>
        <w:noProof/>
      </w:rPr>
      <mc:AlternateContent>
        <mc:Choice Requires="wps">
          <w:drawing>
            <wp:anchor distT="0" distB="0" distL="114300" distR="114300" simplePos="0" relativeHeight="251661312" behindDoc="0" locked="1" layoutInCell="0" allowOverlap="1" wp14:anchorId="7D9451C0" wp14:editId="4B084D26">
              <wp:simplePos x="0" y="0"/>
              <wp:positionH relativeFrom="margin">
                <wp:align>center</wp:align>
              </wp:positionH>
              <wp:positionV relativeFrom="topMargin">
                <wp:align>center</wp:align>
              </wp:positionV>
              <wp:extent cx="892175" cy="273050"/>
              <wp:effectExtent l="0" t="0" r="0" b="0"/>
              <wp:wrapNone/>
              <wp:docPr id="1907074133"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EAE34" w14:textId="5F5B2B78" w:rsidR="008A3258" w:rsidRPr="008A3258" w:rsidRDefault="008A3258" w:rsidP="008A3258">
                          <w:pPr>
                            <w:spacing w:before="0" w:after="0"/>
                            <w:jc w:val="center"/>
                            <w:rPr>
                              <w:b/>
                              <w:color w:val="FF0000"/>
                              <w:sz w:val="24"/>
                            </w:rPr>
                          </w:pPr>
                          <w:r w:rsidRPr="008A3258">
                            <w:rPr>
                              <w:b/>
                              <w:color w:val="FF0000"/>
                              <w:sz w:val="24"/>
                            </w:rPr>
                            <w:fldChar w:fldCharType="begin"/>
                          </w:r>
                          <w:r w:rsidRPr="008A3258">
                            <w:rPr>
                              <w:b/>
                              <w:color w:val="FF0000"/>
                              <w:sz w:val="24"/>
                            </w:rPr>
                            <w:instrText xml:space="preserve"> DOCPROPERTY PM_ProtectiveMarkingValue_Header \* MERGEFORMAT </w:instrText>
                          </w:r>
                          <w:r w:rsidRPr="008A3258">
                            <w:rPr>
                              <w:b/>
                              <w:color w:val="FF0000"/>
                              <w:sz w:val="24"/>
                            </w:rPr>
                            <w:fldChar w:fldCharType="separate"/>
                          </w:r>
                          <w:r w:rsidR="00431A7A">
                            <w:rPr>
                              <w:b/>
                              <w:color w:val="FF0000"/>
                              <w:sz w:val="24"/>
                            </w:rPr>
                            <w:t>OFFICIAL</w:t>
                          </w:r>
                          <w:r w:rsidRPr="008A325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9451C0"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4E9EAE34" w14:textId="5F5B2B78" w:rsidR="008A3258" w:rsidRPr="008A3258" w:rsidRDefault="008A3258" w:rsidP="008A3258">
                    <w:pPr>
                      <w:spacing w:before="0" w:after="0"/>
                      <w:jc w:val="center"/>
                      <w:rPr>
                        <w:b/>
                        <w:color w:val="FF0000"/>
                        <w:sz w:val="24"/>
                      </w:rPr>
                    </w:pPr>
                    <w:r w:rsidRPr="008A3258">
                      <w:rPr>
                        <w:b/>
                        <w:color w:val="FF0000"/>
                        <w:sz w:val="24"/>
                      </w:rPr>
                      <w:fldChar w:fldCharType="begin"/>
                    </w:r>
                    <w:r w:rsidRPr="008A3258">
                      <w:rPr>
                        <w:b/>
                        <w:color w:val="FF0000"/>
                        <w:sz w:val="24"/>
                      </w:rPr>
                      <w:instrText xml:space="preserve"> DOCPROPERTY PM_ProtectiveMarkingValue_Header \* MERGEFORMAT </w:instrText>
                    </w:r>
                    <w:r w:rsidRPr="008A3258">
                      <w:rPr>
                        <w:b/>
                        <w:color w:val="FF0000"/>
                        <w:sz w:val="24"/>
                      </w:rPr>
                      <w:fldChar w:fldCharType="separate"/>
                    </w:r>
                    <w:r w:rsidR="00431A7A">
                      <w:rPr>
                        <w:b/>
                        <w:color w:val="FF0000"/>
                        <w:sz w:val="24"/>
                      </w:rPr>
                      <w:t>OFFICIAL</w:t>
                    </w:r>
                    <w:r w:rsidRPr="008A3258">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9C76" w14:textId="59B222FA" w:rsidR="009F5D9A" w:rsidRPr="006C328D" w:rsidRDefault="008A3258"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mc:AlternateContent>
        <mc:Choice Requires="wps">
          <w:drawing>
            <wp:anchor distT="0" distB="0" distL="114300" distR="114300" simplePos="0" relativeHeight="251659264" behindDoc="0" locked="1" layoutInCell="0" allowOverlap="1" wp14:anchorId="21F4C82F" wp14:editId="31ECBD65">
              <wp:simplePos x="0" y="0"/>
              <wp:positionH relativeFrom="margin">
                <wp:align>center</wp:align>
              </wp:positionH>
              <wp:positionV relativeFrom="topMargin">
                <wp:align>center</wp:align>
              </wp:positionV>
              <wp:extent cx="892175" cy="273050"/>
              <wp:effectExtent l="0" t="0" r="0" b="0"/>
              <wp:wrapNone/>
              <wp:docPr id="921565500"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91933" w14:textId="6D094EF1" w:rsidR="008A3258" w:rsidRPr="008A3258" w:rsidRDefault="008A3258" w:rsidP="008A3258">
                          <w:pPr>
                            <w:spacing w:before="0" w:after="0"/>
                            <w:jc w:val="center"/>
                            <w:rPr>
                              <w:b/>
                              <w:color w:val="FF0000"/>
                              <w:sz w:val="24"/>
                            </w:rPr>
                          </w:pPr>
                          <w:r w:rsidRPr="008A3258">
                            <w:rPr>
                              <w:b/>
                              <w:color w:val="FF0000"/>
                              <w:sz w:val="24"/>
                            </w:rPr>
                            <w:fldChar w:fldCharType="begin"/>
                          </w:r>
                          <w:r w:rsidRPr="008A3258">
                            <w:rPr>
                              <w:b/>
                              <w:color w:val="FF0000"/>
                              <w:sz w:val="24"/>
                            </w:rPr>
                            <w:instrText xml:space="preserve"> DOCPROPERTY PM_ProtectiveMarkingValue_Header \* MERGEFORMAT </w:instrText>
                          </w:r>
                          <w:r w:rsidRPr="008A3258">
                            <w:rPr>
                              <w:b/>
                              <w:color w:val="FF0000"/>
                              <w:sz w:val="24"/>
                            </w:rPr>
                            <w:fldChar w:fldCharType="separate"/>
                          </w:r>
                          <w:r w:rsidR="00431A7A">
                            <w:rPr>
                              <w:b/>
                              <w:color w:val="FF0000"/>
                              <w:sz w:val="24"/>
                            </w:rPr>
                            <w:t>OFFICIAL</w:t>
                          </w:r>
                          <w:r w:rsidRPr="008A325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F4C82F" id="_x0000_t202" coordsize="21600,21600" o:spt="202" path="m,l,21600r21600,l21600,xe">
              <v:stroke joinstyle="miter"/>
              <v:path gradientshapeok="t" o:connecttype="rect"/>
            </v:shapetype>
            <v:shape id="janusSEAL SC Header" o:spid="_x0000_s1027" type="#_x0000_t202" style="position:absolute;left:0;text-align:left;margin-left:0;margin-top:0;width:70.25pt;height:21.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fill o:detectmouseclick="t"/>
              <v:textbox style="mso-fit-shape-to-text:t">
                <w:txbxContent>
                  <w:p w14:paraId="7EE91933" w14:textId="6D094EF1" w:rsidR="008A3258" w:rsidRPr="008A3258" w:rsidRDefault="008A3258" w:rsidP="008A3258">
                    <w:pPr>
                      <w:spacing w:before="0" w:after="0"/>
                      <w:jc w:val="center"/>
                      <w:rPr>
                        <w:b/>
                        <w:color w:val="FF0000"/>
                        <w:sz w:val="24"/>
                      </w:rPr>
                    </w:pPr>
                    <w:r w:rsidRPr="008A3258">
                      <w:rPr>
                        <w:b/>
                        <w:color w:val="FF0000"/>
                        <w:sz w:val="24"/>
                      </w:rPr>
                      <w:fldChar w:fldCharType="begin"/>
                    </w:r>
                    <w:r w:rsidRPr="008A3258">
                      <w:rPr>
                        <w:b/>
                        <w:color w:val="FF0000"/>
                        <w:sz w:val="24"/>
                      </w:rPr>
                      <w:instrText xml:space="preserve"> DOCPROPERTY PM_ProtectiveMarkingValue_Header \* MERGEFORMAT </w:instrText>
                    </w:r>
                    <w:r w:rsidRPr="008A3258">
                      <w:rPr>
                        <w:b/>
                        <w:color w:val="FF0000"/>
                        <w:sz w:val="24"/>
                      </w:rPr>
                      <w:fldChar w:fldCharType="separate"/>
                    </w:r>
                    <w:r w:rsidR="00431A7A">
                      <w:rPr>
                        <w:b/>
                        <w:color w:val="FF0000"/>
                        <w:sz w:val="24"/>
                      </w:rPr>
                      <w:t>OFFICIAL</w:t>
                    </w:r>
                    <w:r w:rsidRPr="008A3258">
                      <w:rPr>
                        <w:b/>
                        <w:color w:val="FF0000"/>
                        <w:sz w:val="24"/>
                      </w:rPr>
                      <w:fldChar w:fldCharType="end"/>
                    </w:r>
                  </w:p>
                </w:txbxContent>
              </v:textbox>
              <w10:wrap anchorx="margin" anchory="margin"/>
              <w10:anchorlock/>
            </v:shape>
          </w:pict>
        </mc:Fallback>
      </mc:AlternateContent>
    </w:r>
    <w:r w:rsidR="009F5D9A">
      <w:rPr>
        <w:rFonts w:ascii="Georgia" w:hAnsi="Georgia" w:cs="Arial"/>
        <w:b/>
        <w:noProof/>
        <w:color w:val="004855"/>
        <w:sz w:val="28"/>
        <w:szCs w:val="28"/>
        <w:lang w:eastAsia="en-AU"/>
      </w:rPr>
      <w:t xml:space="preserve"> </w:t>
    </w:r>
    <w:r w:rsidR="009F5D9A">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sidR="009F5D9A">
      <w:rPr>
        <w:rFonts w:ascii="Georgia" w:hAnsi="Georgia" w:cs="Arial"/>
        <w:b/>
        <w:noProof/>
        <w:color w:val="004855"/>
        <w:sz w:val="28"/>
        <w:szCs w:val="28"/>
        <w:lang w:eastAsia="en-AU"/>
      </w:rPr>
      <w:tab/>
    </w:r>
    <w:r w:rsidR="00194220">
      <w:rPr>
        <w:noProof/>
      </w:rPr>
      <w:drawing>
        <wp:inline distT="0" distB="0" distL="0" distR="0" wp14:anchorId="7D2869D5" wp14:editId="1135714C">
          <wp:extent cx="1527789" cy="39756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96652" cy="4154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E993" w14:textId="13C25710" w:rsidR="008A3258" w:rsidRDefault="008A3258">
    <w:pPr>
      <w:pStyle w:val="Header"/>
    </w:pPr>
    <w:r>
      <w:rPr>
        <w:noProof/>
      </w:rPr>
      <mc:AlternateContent>
        <mc:Choice Requires="wps">
          <w:drawing>
            <wp:anchor distT="0" distB="0" distL="114300" distR="114300" simplePos="0" relativeHeight="251660288" behindDoc="0" locked="1" layoutInCell="0" allowOverlap="1" wp14:anchorId="2192BF74" wp14:editId="60D99A10">
              <wp:simplePos x="0" y="0"/>
              <wp:positionH relativeFrom="margin">
                <wp:align>center</wp:align>
              </wp:positionH>
              <wp:positionV relativeFrom="topMargin">
                <wp:align>center</wp:align>
              </wp:positionV>
              <wp:extent cx="892175" cy="273050"/>
              <wp:effectExtent l="0" t="0" r="0" b="0"/>
              <wp:wrapNone/>
              <wp:docPr id="975528567"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4D3F43" w14:textId="6F6230D4" w:rsidR="008A3258" w:rsidRPr="008A3258" w:rsidRDefault="008A3258" w:rsidP="008A3258">
                          <w:pPr>
                            <w:spacing w:before="0" w:after="0"/>
                            <w:jc w:val="center"/>
                            <w:rPr>
                              <w:b/>
                              <w:color w:val="FF0000"/>
                              <w:sz w:val="24"/>
                            </w:rPr>
                          </w:pPr>
                          <w:r w:rsidRPr="008A3258">
                            <w:rPr>
                              <w:b/>
                              <w:color w:val="FF0000"/>
                              <w:sz w:val="24"/>
                            </w:rPr>
                            <w:fldChar w:fldCharType="begin"/>
                          </w:r>
                          <w:r w:rsidRPr="008A3258">
                            <w:rPr>
                              <w:b/>
                              <w:color w:val="FF0000"/>
                              <w:sz w:val="24"/>
                            </w:rPr>
                            <w:instrText xml:space="preserve"> DOCPROPERTY PM_ProtectiveMarkingValue_Header \* MERGEFORMAT </w:instrText>
                          </w:r>
                          <w:r w:rsidRPr="008A3258">
                            <w:rPr>
                              <w:b/>
                              <w:color w:val="FF0000"/>
                              <w:sz w:val="24"/>
                            </w:rPr>
                            <w:fldChar w:fldCharType="separate"/>
                          </w:r>
                          <w:r w:rsidR="00431A7A">
                            <w:rPr>
                              <w:b/>
                              <w:color w:val="FF0000"/>
                              <w:sz w:val="24"/>
                            </w:rPr>
                            <w:t>OFFICIAL</w:t>
                          </w:r>
                          <w:r w:rsidRPr="008A325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92BF74" id="_x0000_t202" coordsize="21600,21600" o:spt="202" path="m,l,21600r21600,l21600,xe">
              <v:stroke joinstyle="miter"/>
              <v:path gradientshapeok="t" o:connecttype="rect"/>
            </v:shapetype>
            <v:shape id="janusSEAL SC H_FirstPage" o:spid="_x0000_s1030" type="#_x0000_t202" style="position:absolute;margin-left:0;margin-top:0;width:70.25pt;height:21.5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fill o:detectmouseclick="t"/>
              <v:textbox style="mso-fit-shape-to-text:t">
                <w:txbxContent>
                  <w:p w14:paraId="174D3F43" w14:textId="6F6230D4" w:rsidR="008A3258" w:rsidRPr="008A3258" w:rsidRDefault="008A3258" w:rsidP="008A3258">
                    <w:pPr>
                      <w:spacing w:before="0" w:after="0"/>
                      <w:jc w:val="center"/>
                      <w:rPr>
                        <w:b/>
                        <w:color w:val="FF0000"/>
                        <w:sz w:val="24"/>
                      </w:rPr>
                    </w:pPr>
                    <w:r w:rsidRPr="008A3258">
                      <w:rPr>
                        <w:b/>
                        <w:color w:val="FF0000"/>
                        <w:sz w:val="24"/>
                      </w:rPr>
                      <w:fldChar w:fldCharType="begin"/>
                    </w:r>
                    <w:r w:rsidRPr="008A3258">
                      <w:rPr>
                        <w:b/>
                        <w:color w:val="FF0000"/>
                        <w:sz w:val="24"/>
                      </w:rPr>
                      <w:instrText xml:space="preserve"> DOCPROPERTY PM_ProtectiveMarkingValue_Header \* MERGEFORMAT </w:instrText>
                    </w:r>
                    <w:r w:rsidRPr="008A3258">
                      <w:rPr>
                        <w:b/>
                        <w:color w:val="FF0000"/>
                        <w:sz w:val="24"/>
                      </w:rPr>
                      <w:fldChar w:fldCharType="separate"/>
                    </w:r>
                    <w:r w:rsidR="00431A7A">
                      <w:rPr>
                        <w:b/>
                        <w:color w:val="FF0000"/>
                        <w:sz w:val="24"/>
                      </w:rPr>
                      <w:t>OFFICIAL</w:t>
                    </w:r>
                    <w:r w:rsidRPr="008A3258">
                      <w:rPr>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in;height:36pt" o:bullet="t">
        <v:imagedata r:id="rId1" o:title="Teal-Triangles"/>
      </v:shape>
    </w:pict>
  </w:numPicBullet>
  <w:numPicBullet w:numPicBulletId="1">
    <w:pict>
      <v:shape id="_x0000_i1075" type="#_x0000_t75" style="width:1in;height:36pt" o:bullet="t">
        <v:imagedata r:id="rId2" o:title="Pink-Triangles"/>
      </v:shape>
    </w:pict>
  </w:numPicBullet>
  <w:numPicBullet w:numPicBulletId="2">
    <w:pict>
      <v:shape id="_x0000_i1076" type="#_x0000_t75" style="width:1in;height:36pt" o:bullet="t">
        <v:imagedata r:id="rId3" o:title="Yellow-Triangles"/>
      </v:shape>
    </w:pict>
  </w:numPicBullet>
  <w:abstractNum w:abstractNumId="0" w15:restartNumberingAfterBreak="0">
    <w:nsid w:val="1FE541A5"/>
    <w:multiLevelType w:val="multilevel"/>
    <w:tmpl w:val="72A0BFAA"/>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3B45" w:themeColor="text2"/>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5A332E"/>
    <w:multiLevelType w:val="multilevel"/>
    <w:tmpl w:val="0D302634"/>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AF22498"/>
    <w:multiLevelType w:val="hybridMultilevel"/>
    <w:tmpl w:val="97528948"/>
    <w:lvl w:ilvl="0" w:tplc="FD5C6FF8">
      <w:start w:val="1"/>
      <w:numFmt w:val="bullet"/>
      <w:lvlText w:val=""/>
      <w:lvlJc w:val="left"/>
      <w:pPr>
        <w:ind w:left="360" w:hanging="360"/>
      </w:pPr>
      <w:rPr>
        <w:rFonts w:ascii="Symbol" w:hAnsi="Symbol" w:hint="default"/>
        <w:color w:val="004D7D"/>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7A6075"/>
    <w:multiLevelType w:val="hybridMultilevel"/>
    <w:tmpl w:val="E81ABF82"/>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4" w15:restartNumberingAfterBreak="0">
    <w:nsid w:val="62553234"/>
    <w:multiLevelType w:val="hybridMultilevel"/>
    <w:tmpl w:val="6E7C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A047DD"/>
    <w:multiLevelType w:val="hybridMultilevel"/>
    <w:tmpl w:val="71DEB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5266916">
    <w:abstractNumId w:val="17"/>
  </w:num>
  <w:num w:numId="2" w16cid:durableId="374308065">
    <w:abstractNumId w:val="16"/>
  </w:num>
  <w:num w:numId="3" w16cid:durableId="1589268044">
    <w:abstractNumId w:val="12"/>
  </w:num>
  <w:num w:numId="4" w16cid:durableId="1419670224">
    <w:abstractNumId w:val="11"/>
  </w:num>
  <w:num w:numId="5" w16cid:durableId="567501503">
    <w:abstractNumId w:val="9"/>
  </w:num>
  <w:num w:numId="6" w16cid:durableId="1371302265">
    <w:abstractNumId w:val="3"/>
  </w:num>
  <w:num w:numId="7" w16cid:durableId="1325431320">
    <w:abstractNumId w:val="4"/>
  </w:num>
  <w:num w:numId="8" w16cid:durableId="2134246186">
    <w:abstractNumId w:val="5"/>
  </w:num>
  <w:num w:numId="9" w16cid:durableId="1216045270">
    <w:abstractNumId w:val="10"/>
  </w:num>
  <w:num w:numId="10" w16cid:durableId="220217154">
    <w:abstractNumId w:val="8"/>
  </w:num>
  <w:num w:numId="11" w16cid:durableId="1058434997">
    <w:abstractNumId w:val="2"/>
  </w:num>
  <w:num w:numId="12" w16cid:durableId="1577320659">
    <w:abstractNumId w:val="1"/>
  </w:num>
  <w:num w:numId="13" w16cid:durableId="524756346">
    <w:abstractNumId w:val="7"/>
  </w:num>
  <w:num w:numId="14" w16cid:durableId="724914912">
    <w:abstractNumId w:val="13"/>
  </w:num>
  <w:num w:numId="15" w16cid:durableId="1172141782">
    <w:abstractNumId w:val="0"/>
  </w:num>
  <w:num w:numId="16" w16cid:durableId="834421190">
    <w:abstractNumId w:val="6"/>
  </w:num>
  <w:num w:numId="17" w16cid:durableId="1346402184">
    <w:abstractNumId w:val="15"/>
  </w:num>
  <w:num w:numId="18" w16cid:durableId="541751744">
    <w:abstractNumId w:val="0"/>
  </w:num>
  <w:num w:numId="19" w16cid:durableId="1708943118">
    <w:abstractNumId w:val="14"/>
  </w:num>
  <w:num w:numId="20" w16cid:durableId="1638679231">
    <w:abstractNumId w:val="0"/>
  </w:num>
  <w:num w:numId="21" w16cid:durableId="1423641874">
    <w:abstractNumId w:val="0"/>
  </w:num>
  <w:num w:numId="22" w16cid:durableId="77524761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18C1"/>
    <w:rsid w:val="00002015"/>
    <w:rsid w:val="00005BFD"/>
    <w:rsid w:val="000103BA"/>
    <w:rsid w:val="00016015"/>
    <w:rsid w:val="0002032A"/>
    <w:rsid w:val="00022B45"/>
    <w:rsid w:val="000342DB"/>
    <w:rsid w:val="00040A3A"/>
    <w:rsid w:val="00043EEF"/>
    <w:rsid w:val="00047FB3"/>
    <w:rsid w:val="000510C3"/>
    <w:rsid w:val="000539AB"/>
    <w:rsid w:val="00055F9D"/>
    <w:rsid w:val="00056406"/>
    <w:rsid w:val="00062CE8"/>
    <w:rsid w:val="0007028B"/>
    <w:rsid w:val="00071592"/>
    <w:rsid w:val="000722AE"/>
    <w:rsid w:val="000766E4"/>
    <w:rsid w:val="00082CF7"/>
    <w:rsid w:val="00085602"/>
    <w:rsid w:val="00092258"/>
    <w:rsid w:val="000944B4"/>
    <w:rsid w:val="00094E8E"/>
    <w:rsid w:val="00097AD5"/>
    <w:rsid w:val="000A232D"/>
    <w:rsid w:val="000A60F3"/>
    <w:rsid w:val="000B0BA9"/>
    <w:rsid w:val="000B49DC"/>
    <w:rsid w:val="000B7D25"/>
    <w:rsid w:val="000C0AB6"/>
    <w:rsid w:val="000C4D9B"/>
    <w:rsid w:val="000D03F5"/>
    <w:rsid w:val="000D2C11"/>
    <w:rsid w:val="000E510F"/>
    <w:rsid w:val="000E5FBD"/>
    <w:rsid w:val="000E688F"/>
    <w:rsid w:val="000F00DE"/>
    <w:rsid w:val="000F0AD5"/>
    <w:rsid w:val="000F0BC3"/>
    <w:rsid w:val="000F117B"/>
    <w:rsid w:val="000F26A9"/>
    <w:rsid w:val="00100040"/>
    <w:rsid w:val="00107D1B"/>
    <w:rsid w:val="001126FD"/>
    <w:rsid w:val="00116A17"/>
    <w:rsid w:val="00126E4D"/>
    <w:rsid w:val="00130EBC"/>
    <w:rsid w:val="0013298A"/>
    <w:rsid w:val="00134DD1"/>
    <w:rsid w:val="00140A0C"/>
    <w:rsid w:val="00140F62"/>
    <w:rsid w:val="001440A7"/>
    <w:rsid w:val="001473A3"/>
    <w:rsid w:val="00151763"/>
    <w:rsid w:val="00152D17"/>
    <w:rsid w:val="001561CC"/>
    <w:rsid w:val="0016014E"/>
    <w:rsid w:val="00164942"/>
    <w:rsid w:val="001707A3"/>
    <w:rsid w:val="00171319"/>
    <w:rsid w:val="00173FE6"/>
    <w:rsid w:val="00176341"/>
    <w:rsid w:val="00180533"/>
    <w:rsid w:val="00181F0E"/>
    <w:rsid w:val="001845B1"/>
    <w:rsid w:val="00187BCE"/>
    <w:rsid w:val="00190C37"/>
    <w:rsid w:val="001910C8"/>
    <w:rsid w:val="001937CF"/>
    <w:rsid w:val="00194220"/>
    <w:rsid w:val="001942A9"/>
    <w:rsid w:val="00194D16"/>
    <w:rsid w:val="00196F2D"/>
    <w:rsid w:val="001A7DEF"/>
    <w:rsid w:val="001B5284"/>
    <w:rsid w:val="001B7510"/>
    <w:rsid w:val="001C1EC9"/>
    <w:rsid w:val="001C43A2"/>
    <w:rsid w:val="001C68AB"/>
    <w:rsid w:val="001C7FD2"/>
    <w:rsid w:val="001E178E"/>
    <w:rsid w:val="001E4F88"/>
    <w:rsid w:val="001F091D"/>
    <w:rsid w:val="001F1065"/>
    <w:rsid w:val="001F205F"/>
    <w:rsid w:val="001F2D49"/>
    <w:rsid w:val="001F39F5"/>
    <w:rsid w:val="001F3B80"/>
    <w:rsid w:val="001F4E06"/>
    <w:rsid w:val="001F540E"/>
    <w:rsid w:val="001F7756"/>
    <w:rsid w:val="00201809"/>
    <w:rsid w:val="002019A1"/>
    <w:rsid w:val="00204BC7"/>
    <w:rsid w:val="002071BA"/>
    <w:rsid w:val="002075C2"/>
    <w:rsid w:val="00210D74"/>
    <w:rsid w:val="00211884"/>
    <w:rsid w:val="0021369E"/>
    <w:rsid w:val="002238DF"/>
    <w:rsid w:val="0022469E"/>
    <w:rsid w:val="00233FDD"/>
    <w:rsid w:val="002357CA"/>
    <w:rsid w:val="002363AF"/>
    <w:rsid w:val="00240A7C"/>
    <w:rsid w:val="0024219C"/>
    <w:rsid w:val="00244814"/>
    <w:rsid w:val="00244D59"/>
    <w:rsid w:val="00253EE0"/>
    <w:rsid w:val="00255C9C"/>
    <w:rsid w:val="00255EA2"/>
    <w:rsid w:val="00257BF4"/>
    <w:rsid w:val="00260A5A"/>
    <w:rsid w:val="00271F49"/>
    <w:rsid w:val="00276729"/>
    <w:rsid w:val="002770FF"/>
    <w:rsid w:val="0028229D"/>
    <w:rsid w:val="00284188"/>
    <w:rsid w:val="002866BA"/>
    <w:rsid w:val="002955EE"/>
    <w:rsid w:val="00297329"/>
    <w:rsid w:val="002A0F67"/>
    <w:rsid w:val="002A56DB"/>
    <w:rsid w:val="002A7000"/>
    <w:rsid w:val="002B23DF"/>
    <w:rsid w:val="002B23FE"/>
    <w:rsid w:val="002B338A"/>
    <w:rsid w:val="002B4967"/>
    <w:rsid w:val="002C5F51"/>
    <w:rsid w:val="002C794A"/>
    <w:rsid w:val="002C7E4F"/>
    <w:rsid w:val="002D35D7"/>
    <w:rsid w:val="002D4D27"/>
    <w:rsid w:val="002E3479"/>
    <w:rsid w:val="002E5D7C"/>
    <w:rsid w:val="002E6A7E"/>
    <w:rsid w:val="002F06CD"/>
    <w:rsid w:val="002F1FD6"/>
    <w:rsid w:val="002F204F"/>
    <w:rsid w:val="002F5D4B"/>
    <w:rsid w:val="002F697E"/>
    <w:rsid w:val="002F7389"/>
    <w:rsid w:val="0030065D"/>
    <w:rsid w:val="00300892"/>
    <w:rsid w:val="0030651C"/>
    <w:rsid w:val="003067F1"/>
    <w:rsid w:val="00306EDD"/>
    <w:rsid w:val="00310775"/>
    <w:rsid w:val="003204C6"/>
    <w:rsid w:val="0032329A"/>
    <w:rsid w:val="00334C2A"/>
    <w:rsid w:val="0034020D"/>
    <w:rsid w:val="00340768"/>
    <w:rsid w:val="003420E0"/>
    <w:rsid w:val="00343A0A"/>
    <w:rsid w:val="00345122"/>
    <w:rsid w:val="00345AA5"/>
    <w:rsid w:val="00350C0A"/>
    <w:rsid w:val="00350E1F"/>
    <w:rsid w:val="00350F2E"/>
    <w:rsid w:val="00352408"/>
    <w:rsid w:val="00355B8D"/>
    <w:rsid w:val="00363AA3"/>
    <w:rsid w:val="003667E0"/>
    <w:rsid w:val="003678F1"/>
    <w:rsid w:val="00370759"/>
    <w:rsid w:val="003716A4"/>
    <w:rsid w:val="00373E3E"/>
    <w:rsid w:val="003778EB"/>
    <w:rsid w:val="003804BF"/>
    <w:rsid w:val="003823FE"/>
    <w:rsid w:val="003828AC"/>
    <w:rsid w:val="00384709"/>
    <w:rsid w:val="00386918"/>
    <w:rsid w:val="00390079"/>
    <w:rsid w:val="00390865"/>
    <w:rsid w:val="00394632"/>
    <w:rsid w:val="003A0BD3"/>
    <w:rsid w:val="003A56EB"/>
    <w:rsid w:val="003B1090"/>
    <w:rsid w:val="003B5CBC"/>
    <w:rsid w:val="003B6641"/>
    <w:rsid w:val="003C0410"/>
    <w:rsid w:val="003C559A"/>
    <w:rsid w:val="003C7A12"/>
    <w:rsid w:val="003D549B"/>
    <w:rsid w:val="003D5815"/>
    <w:rsid w:val="003E02F2"/>
    <w:rsid w:val="003E0BCC"/>
    <w:rsid w:val="003E0C23"/>
    <w:rsid w:val="003E0DFA"/>
    <w:rsid w:val="003E2227"/>
    <w:rsid w:val="003E4D06"/>
    <w:rsid w:val="003E7B6E"/>
    <w:rsid w:val="003F2713"/>
    <w:rsid w:val="003F581D"/>
    <w:rsid w:val="003F7443"/>
    <w:rsid w:val="003F75C3"/>
    <w:rsid w:val="00402296"/>
    <w:rsid w:val="004025FE"/>
    <w:rsid w:val="00402F32"/>
    <w:rsid w:val="00407CBE"/>
    <w:rsid w:val="00411901"/>
    <w:rsid w:val="004126B0"/>
    <w:rsid w:val="004151D4"/>
    <w:rsid w:val="00415400"/>
    <w:rsid w:val="00417B39"/>
    <w:rsid w:val="00421DF9"/>
    <w:rsid w:val="00422C96"/>
    <w:rsid w:val="004240B5"/>
    <w:rsid w:val="00425D53"/>
    <w:rsid w:val="00426E1F"/>
    <w:rsid w:val="004304A0"/>
    <w:rsid w:val="00431A7A"/>
    <w:rsid w:val="00434A21"/>
    <w:rsid w:val="00435362"/>
    <w:rsid w:val="00435F96"/>
    <w:rsid w:val="00436E67"/>
    <w:rsid w:val="0044410E"/>
    <w:rsid w:val="00451687"/>
    <w:rsid w:val="0045485C"/>
    <w:rsid w:val="00455DEF"/>
    <w:rsid w:val="0045740F"/>
    <w:rsid w:val="00462767"/>
    <w:rsid w:val="0046324D"/>
    <w:rsid w:val="00465A13"/>
    <w:rsid w:val="004677FD"/>
    <w:rsid w:val="00467CE7"/>
    <w:rsid w:val="004705F6"/>
    <w:rsid w:val="0048160D"/>
    <w:rsid w:val="00482679"/>
    <w:rsid w:val="00484490"/>
    <w:rsid w:val="0049428C"/>
    <w:rsid w:val="004942ED"/>
    <w:rsid w:val="004963E0"/>
    <w:rsid w:val="004A076E"/>
    <w:rsid w:val="004A09F6"/>
    <w:rsid w:val="004A3B0F"/>
    <w:rsid w:val="004A438F"/>
    <w:rsid w:val="004B0EA6"/>
    <w:rsid w:val="004C020E"/>
    <w:rsid w:val="004C20B3"/>
    <w:rsid w:val="004C31EE"/>
    <w:rsid w:val="004C39E3"/>
    <w:rsid w:val="004C569B"/>
    <w:rsid w:val="004C6C45"/>
    <w:rsid w:val="004D2C3F"/>
    <w:rsid w:val="004E2B07"/>
    <w:rsid w:val="004E5C4D"/>
    <w:rsid w:val="004E7A10"/>
    <w:rsid w:val="004F0130"/>
    <w:rsid w:val="004F09A5"/>
    <w:rsid w:val="004F190C"/>
    <w:rsid w:val="004F1B3E"/>
    <w:rsid w:val="004F3048"/>
    <w:rsid w:val="004F3C74"/>
    <w:rsid w:val="004F5D9C"/>
    <w:rsid w:val="005071D6"/>
    <w:rsid w:val="00511505"/>
    <w:rsid w:val="00512B6C"/>
    <w:rsid w:val="00513E63"/>
    <w:rsid w:val="00516B53"/>
    <w:rsid w:val="00516F60"/>
    <w:rsid w:val="005170B6"/>
    <w:rsid w:val="00521240"/>
    <w:rsid w:val="00524886"/>
    <w:rsid w:val="00525720"/>
    <w:rsid w:val="005300D5"/>
    <w:rsid w:val="005410A8"/>
    <w:rsid w:val="00541321"/>
    <w:rsid w:val="005424C2"/>
    <w:rsid w:val="00543277"/>
    <w:rsid w:val="00544476"/>
    <w:rsid w:val="0054595C"/>
    <w:rsid w:val="00550D0B"/>
    <w:rsid w:val="00552A2D"/>
    <w:rsid w:val="00555161"/>
    <w:rsid w:val="005555FC"/>
    <w:rsid w:val="00560799"/>
    <w:rsid w:val="00562952"/>
    <w:rsid w:val="00562EE5"/>
    <w:rsid w:val="00563CE9"/>
    <w:rsid w:val="00566BAA"/>
    <w:rsid w:val="00567991"/>
    <w:rsid w:val="00567C26"/>
    <w:rsid w:val="00571736"/>
    <w:rsid w:val="005862FF"/>
    <w:rsid w:val="00587DDA"/>
    <w:rsid w:val="0059539E"/>
    <w:rsid w:val="0059693A"/>
    <w:rsid w:val="005A18D6"/>
    <w:rsid w:val="005A62E4"/>
    <w:rsid w:val="005B458E"/>
    <w:rsid w:val="005B5392"/>
    <w:rsid w:val="005B59A9"/>
    <w:rsid w:val="005B6A0C"/>
    <w:rsid w:val="005C1BC5"/>
    <w:rsid w:val="005C51B5"/>
    <w:rsid w:val="005C5C91"/>
    <w:rsid w:val="005D09B1"/>
    <w:rsid w:val="005D2855"/>
    <w:rsid w:val="005D3C28"/>
    <w:rsid w:val="005D41DF"/>
    <w:rsid w:val="005D52D0"/>
    <w:rsid w:val="005E0ACF"/>
    <w:rsid w:val="005E353C"/>
    <w:rsid w:val="005E3F68"/>
    <w:rsid w:val="005E4D7F"/>
    <w:rsid w:val="005F0A3B"/>
    <w:rsid w:val="005F44F5"/>
    <w:rsid w:val="005F760D"/>
    <w:rsid w:val="00600293"/>
    <w:rsid w:val="006009B0"/>
    <w:rsid w:val="00601869"/>
    <w:rsid w:val="0060315A"/>
    <w:rsid w:val="00603684"/>
    <w:rsid w:val="00614871"/>
    <w:rsid w:val="00620E25"/>
    <w:rsid w:val="00622FA1"/>
    <w:rsid w:val="006262D8"/>
    <w:rsid w:val="00626DFF"/>
    <w:rsid w:val="00627B74"/>
    <w:rsid w:val="00631335"/>
    <w:rsid w:val="00634003"/>
    <w:rsid w:val="0064189A"/>
    <w:rsid w:val="0064328F"/>
    <w:rsid w:val="0064398D"/>
    <w:rsid w:val="006542C4"/>
    <w:rsid w:val="00656932"/>
    <w:rsid w:val="00656EE1"/>
    <w:rsid w:val="00663306"/>
    <w:rsid w:val="006648EA"/>
    <w:rsid w:val="0066741F"/>
    <w:rsid w:val="00667C42"/>
    <w:rsid w:val="0067331A"/>
    <w:rsid w:val="006809D9"/>
    <w:rsid w:val="006821C8"/>
    <w:rsid w:val="006844A4"/>
    <w:rsid w:val="006908BA"/>
    <w:rsid w:val="00691462"/>
    <w:rsid w:val="00692348"/>
    <w:rsid w:val="00696B8F"/>
    <w:rsid w:val="006A3536"/>
    <w:rsid w:val="006A420F"/>
    <w:rsid w:val="006A4A2F"/>
    <w:rsid w:val="006B0B86"/>
    <w:rsid w:val="006B1F26"/>
    <w:rsid w:val="006B2B2D"/>
    <w:rsid w:val="006B7670"/>
    <w:rsid w:val="006C328D"/>
    <w:rsid w:val="006C5AC7"/>
    <w:rsid w:val="006D1710"/>
    <w:rsid w:val="006D17A1"/>
    <w:rsid w:val="006D257A"/>
    <w:rsid w:val="006D2B0E"/>
    <w:rsid w:val="006D3402"/>
    <w:rsid w:val="006E3AA7"/>
    <w:rsid w:val="006E596D"/>
    <w:rsid w:val="006E7863"/>
    <w:rsid w:val="006F5218"/>
    <w:rsid w:val="006F79B0"/>
    <w:rsid w:val="00703469"/>
    <w:rsid w:val="00703B30"/>
    <w:rsid w:val="00706267"/>
    <w:rsid w:val="007121BF"/>
    <w:rsid w:val="00713B43"/>
    <w:rsid w:val="007148AD"/>
    <w:rsid w:val="00720914"/>
    <w:rsid w:val="00721180"/>
    <w:rsid w:val="0072176E"/>
    <w:rsid w:val="00725455"/>
    <w:rsid w:val="00726CC7"/>
    <w:rsid w:val="00727494"/>
    <w:rsid w:val="00733596"/>
    <w:rsid w:val="00734B93"/>
    <w:rsid w:val="00735FB9"/>
    <w:rsid w:val="0074260F"/>
    <w:rsid w:val="00743092"/>
    <w:rsid w:val="00754FB9"/>
    <w:rsid w:val="0076372D"/>
    <w:rsid w:val="007668F8"/>
    <w:rsid w:val="00770C2B"/>
    <w:rsid w:val="00772E72"/>
    <w:rsid w:val="007730B5"/>
    <w:rsid w:val="00774A52"/>
    <w:rsid w:val="007760B8"/>
    <w:rsid w:val="00781191"/>
    <w:rsid w:val="007822F4"/>
    <w:rsid w:val="00783D46"/>
    <w:rsid w:val="00785AEC"/>
    <w:rsid w:val="00791055"/>
    <w:rsid w:val="00792976"/>
    <w:rsid w:val="00793A7D"/>
    <w:rsid w:val="007952AF"/>
    <w:rsid w:val="007A41BD"/>
    <w:rsid w:val="007A443E"/>
    <w:rsid w:val="007A6EF5"/>
    <w:rsid w:val="007B01C8"/>
    <w:rsid w:val="007B13B9"/>
    <w:rsid w:val="007B36ED"/>
    <w:rsid w:val="007B4E65"/>
    <w:rsid w:val="007B7234"/>
    <w:rsid w:val="007B77C7"/>
    <w:rsid w:val="007C32EE"/>
    <w:rsid w:val="007C4501"/>
    <w:rsid w:val="007D115E"/>
    <w:rsid w:val="007D4F47"/>
    <w:rsid w:val="007D51C7"/>
    <w:rsid w:val="007F00B4"/>
    <w:rsid w:val="007F12EC"/>
    <w:rsid w:val="007F39AB"/>
    <w:rsid w:val="007F3A02"/>
    <w:rsid w:val="007F3D0D"/>
    <w:rsid w:val="007F46C6"/>
    <w:rsid w:val="007F59E6"/>
    <w:rsid w:val="007F78F7"/>
    <w:rsid w:val="00801A19"/>
    <w:rsid w:val="00805B6F"/>
    <w:rsid w:val="00807BDA"/>
    <w:rsid w:val="008109BC"/>
    <w:rsid w:val="00810DBD"/>
    <w:rsid w:val="008139E1"/>
    <w:rsid w:val="00813DF0"/>
    <w:rsid w:val="0081436A"/>
    <w:rsid w:val="00817324"/>
    <w:rsid w:val="008217B1"/>
    <w:rsid w:val="00823257"/>
    <w:rsid w:val="008244FA"/>
    <w:rsid w:val="00836815"/>
    <w:rsid w:val="00837FCD"/>
    <w:rsid w:val="008426DE"/>
    <w:rsid w:val="00844EE8"/>
    <w:rsid w:val="00847FA0"/>
    <w:rsid w:val="00853F0B"/>
    <w:rsid w:val="008545BA"/>
    <w:rsid w:val="00854F82"/>
    <w:rsid w:val="00855823"/>
    <w:rsid w:val="00855952"/>
    <w:rsid w:val="0086426F"/>
    <w:rsid w:val="008709DD"/>
    <w:rsid w:val="008724D7"/>
    <w:rsid w:val="00872DE2"/>
    <w:rsid w:val="00876D44"/>
    <w:rsid w:val="00880DE1"/>
    <w:rsid w:val="00883173"/>
    <w:rsid w:val="0089012A"/>
    <w:rsid w:val="00893420"/>
    <w:rsid w:val="008A1197"/>
    <w:rsid w:val="008A2086"/>
    <w:rsid w:val="008A2F33"/>
    <w:rsid w:val="008A3258"/>
    <w:rsid w:val="008A724D"/>
    <w:rsid w:val="008A781D"/>
    <w:rsid w:val="008B2322"/>
    <w:rsid w:val="008C05BC"/>
    <w:rsid w:val="008C08FB"/>
    <w:rsid w:val="008C595B"/>
    <w:rsid w:val="008C64D2"/>
    <w:rsid w:val="008C6E4F"/>
    <w:rsid w:val="008C7FA0"/>
    <w:rsid w:val="008D0EB4"/>
    <w:rsid w:val="008D57F8"/>
    <w:rsid w:val="008D65F4"/>
    <w:rsid w:val="008E696C"/>
    <w:rsid w:val="008E75DD"/>
    <w:rsid w:val="008F0AA3"/>
    <w:rsid w:val="008F4CD9"/>
    <w:rsid w:val="0090146D"/>
    <w:rsid w:val="00903D86"/>
    <w:rsid w:val="009136B7"/>
    <w:rsid w:val="00917539"/>
    <w:rsid w:val="00922B59"/>
    <w:rsid w:val="00923803"/>
    <w:rsid w:val="00924600"/>
    <w:rsid w:val="00931BE8"/>
    <w:rsid w:val="00933C31"/>
    <w:rsid w:val="0093760C"/>
    <w:rsid w:val="00941BDD"/>
    <w:rsid w:val="0094521C"/>
    <w:rsid w:val="00945A34"/>
    <w:rsid w:val="00945ADE"/>
    <w:rsid w:val="009469E8"/>
    <w:rsid w:val="0094771D"/>
    <w:rsid w:val="00956850"/>
    <w:rsid w:val="00960383"/>
    <w:rsid w:val="00960494"/>
    <w:rsid w:val="009619A2"/>
    <w:rsid w:val="00962BC8"/>
    <w:rsid w:val="00964E4D"/>
    <w:rsid w:val="00970CE3"/>
    <w:rsid w:val="00975A20"/>
    <w:rsid w:val="00977A74"/>
    <w:rsid w:val="00981786"/>
    <w:rsid w:val="00984790"/>
    <w:rsid w:val="00990937"/>
    <w:rsid w:val="00995E51"/>
    <w:rsid w:val="00996534"/>
    <w:rsid w:val="009A0D3E"/>
    <w:rsid w:val="009A10F5"/>
    <w:rsid w:val="009A1C01"/>
    <w:rsid w:val="009A56DC"/>
    <w:rsid w:val="009B2881"/>
    <w:rsid w:val="009B38F9"/>
    <w:rsid w:val="009B41F4"/>
    <w:rsid w:val="009B4C7E"/>
    <w:rsid w:val="009B75DC"/>
    <w:rsid w:val="009B769E"/>
    <w:rsid w:val="009C2BE6"/>
    <w:rsid w:val="009C3D9D"/>
    <w:rsid w:val="009C3DAC"/>
    <w:rsid w:val="009C5126"/>
    <w:rsid w:val="009C6277"/>
    <w:rsid w:val="009D0D7C"/>
    <w:rsid w:val="009D3138"/>
    <w:rsid w:val="009D3C55"/>
    <w:rsid w:val="009D53A7"/>
    <w:rsid w:val="009D64A4"/>
    <w:rsid w:val="009D71C7"/>
    <w:rsid w:val="009D7F26"/>
    <w:rsid w:val="009E730A"/>
    <w:rsid w:val="009E73BE"/>
    <w:rsid w:val="009F5D9A"/>
    <w:rsid w:val="00A0108E"/>
    <w:rsid w:val="00A02574"/>
    <w:rsid w:val="00A02CF3"/>
    <w:rsid w:val="00A04E36"/>
    <w:rsid w:val="00A05020"/>
    <w:rsid w:val="00A0583F"/>
    <w:rsid w:val="00A103B4"/>
    <w:rsid w:val="00A158E8"/>
    <w:rsid w:val="00A20C23"/>
    <w:rsid w:val="00A211EA"/>
    <w:rsid w:val="00A21EC6"/>
    <w:rsid w:val="00A3203C"/>
    <w:rsid w:val="00A33923"/>
    <w:rsid w:val="00A43B03"/>
    <w:rsid w:val="00A43EC1"/>
    <w:rsid w:val="00A4586F"/>
    <w:rsid w:val="00A52DE7"/>
    <w:rsid w:val="00A53E55"/>
    <w:rsid w:val="00A577B8"/>
    <w:rsid w:val="00A61FC6"/>
    <w:rsid w:val="00A633E7"/>
    <w:rsid w:val="00A63BB6"/>
    <w:rsid w:val="00A71012"/>
    <w:rsid w:val="00A74724"/>
    <w:rsid w:val="00A74DA6"/>
    <w:rsid w:val="00A8753D"/>
    <w:rsid w:val="00A94A6C"/>
    <w:rsid w:val="00AA03FC"/>
    <w:rsid w:val="00AB199C"/>
    <w:rsid w:val="00AB285D"/>
    <w:rsid w:val="00AB5079"/>
    <w:rsid w:val="00AB6450"/>
    <w:rsid w:val="00AB6C5C"/>
    <w:rsid w:val="00AC0A72"/>
    <w:rsid w:val="00AC0C85"/>
    <w:rsid w:val="00AC2D55"/>
    <w:rsid w:val="00AD1185"/>
    <w:rsid w:val="00AD204E"/>
    <w:rsid w:val="00AD5166"/>
    <w:rsid w:val="00AD5366"/>
    <w:rsid w:val="00AD584F"/>
    <w:rsid w:val="00AE1FDB"/>
    <w:rsid w:val="00AF028D"/>
    <w:rsid w:val="00AF21BB"/>
    <w:rsid w:val="00AF26DA"/>
    <w:rsid w:val="00AF3CE4"/>
    <w:rsid w:val="00B065C9"/>
    <w:rsid w:val="00B07A9E"/>
    <w:rsid w:val="00B16252"/>
    <w:rsid w:val="00B21B26"/>
    <w:rsid w:val="00B32128"/>
    <w:rsid w:val="00B329B4"/>
    <w:rsid w:val="00B3402D"/>
    <w:rsid w:val="00B365AF"/>
    <w:rsid w:val="00B37A5B"/>
    <w:rsid w:val="00B40898"/>
    <w:rsid w:val="00B422EC"/>
    <w:rsid w:val="00B4364A"/>
    <w:rsid w:val="00B43705"/>
    <w:rsid w:val="00B4447B"/>
    <w:rsid w:val="00B44995"/>
    <w:rsid w:val="00B4578F"/>
    <w:rsid w:val="00B4723B"/>
    <w:rsid w:val="00B51810"/>
    <w:rsid w:val="00B53A98"/>
    <w:rsid w:val="00B553BE"/>
    <w:rsid w:val="00B556BD"/>
    <w:rsid w:val="00B56D29"/>
    <w:rsid w:val="00B65F2D"/>
    <w:rsid w:val="00B67858"/>
    <w:rsid w:val="00B7099C"/>
    <w:rsid w:val="00B70A55"/>
    <w:rsid w:val="00B71DA1"/>
    <w:rsid w:val="00B72B92"/>
    <w:rsid w:val="00B733BE"/>
    <w:rsid w:val="00B759C1"/>
    <w:rsid w:val="00B77BDC"/>
    <w:rsid w:val="00B77F00"/>
    <w:rsid w:val="00B8295E"/>
    <w:rsid w:val="00B8518D"/>
    <w:rsid w:val="00B85AEE"/>
    <w:rsid w:val="00B946AC"/>
    <w:rsid w:val="00B94827"/>
    <w:rsid w:val="00B972FF"/>
    <w:rsid w:val="00BA369E"/>
    <w:rsid w:val="00BA4801"/>
    <w:rsid w:val="00BA674C"/>
    <w:rsid w:val="00BA6E2F"/>
    <w:rsid w:val="00BC0704"/>
    <w:rsid w:val="00BC073D"/>
    <w:rsid w:val="00BC1376"/>
    <w:rsid w:val="00BC4192"/>
    <w:rsid w:val="00BC6457"/>
    <w:rsid w:val="00BD185B"/>
    <w:rsid w:val="00BD2C7B"/>
    <w:rsid w:val="00BD2C83"/>
    <w:rsid w:val="00BD6D1E"/>
    <w:rsid w:val="00BE09FA"/>
    <w:rsid w:val="00BE22D8"/>
    <w:rsid w:val="00BE287E"/>
    <w:rsid w:val="00BF0FB6"/>
    <w:rsid w:val="00BF607D"/>
    <w:rsid w:val="00BF6486"/>
    <w:rsid w:val="00C01251"/>
    <w:rsid w:val="00C02630"/>
    <w:rsid w:val="00C026A8"/>
    <w:rsid w:val="00C03D66"/>
    <w:rsid w:val="00C061FC"/>
    <w:rsid w:val="00C06C40"/>
    <w:rsid w:val="00C10712"/>
    <w:rsid w:val="00C1204D"/>
    <w:rsid w:val="00C14D46"/>
    <w:rsid w:val="00C24719"/>
    <w:rsid w:val="00C33D87"/>
    <w:rsid w:val="00C347B4"/>
    <w:rsid w:val="00C41185"/>
    <w:rsid w:val="00C41AA7"/>
    <w:rsid w:val="00C46CBF"/>
    <w:rsid w:val="00C51CEF"/>
    <w:rsid w:val="00C52982"/>
    <w:rsid w:val="00C556ED"/>
    <w:rsid w:val="00C565B3"/>
    <w:rsid w:val="00C6109E"/>
    <w:rsid w:val="00C66C0D"/>
    <w:rsid w:val="00C717A3"/>
    <w:rsid w:val="00C7331F"/>
    <w:rsid w:val="00C8002C"/>
    <w:rsid w:val="00C820D0"/>
    <w:rsid w:val="00C82945"/>
    <w:rsid w:val="00C8318A"/>
    <w:rsid w:val="00C87A20"/>
    <w:rsid w:val="00C87D84"/>
    <w:rsid w:val="00C95EAF"/>
    <w:rsid w:val="00CA0240"/>
    <w:rsid w:val="00CA06A2"/>
    <w:rsid w:val="00CB19E1"/>
    <w:rsid w:val="00CB4109"/>
    <w:rsid w:val="00CB6C8E"/>
    <w:rsid w:val="00CB7CB7"/>
    <w:rsid w:val="00CC15CB"/>
    <w:rsid w:val="00CC5CE7"/>
    <w:rsid w:val="00CD28D4"/>
    <w:rsid w:val="00CD2CED"/>
    <w:rsid w:val="00CD32F7"/>
    <w:rsid w:val="00CD55F8"/>
    <w:rsid w:val="00CD70AF"/>
    <w:rsid w:val="00CD7641"/>
    <w:rsid w:val="00CE0F8D"/>
    <w:rsid w:val="00CE27CE"/>
    <w:rsid w:val="00CE2DB2"/>
    <w:rsid w:val="00CE46E5"/>
    <w:rsid w:val="00CE56E5"/>
    <w:rsid w:val="00CE6A7F"/>
    <w:rsid w:val="00CE70E4"/>
    <w:rsid w:val="00CF0246"/>
    <w:rsid w:val="00CF0DFE"/>
    <w:rsid w:val="00CF0F9B"/>
    <w:rsid w:val="00CF1C3A"/>
    <w:rsid w:val="00CF3015"/>
    <w:rsid w:val="00CF6080"/>
    <w:rsid w:val="00D00F07"/>
    <w:rsid w:val="00D00FC0"/>
    <w:rsid w:val="00D062E8"/>
    <w:rsid w:val="00D16F4C"/>
    <w:rsid w:val="00D17090"/>
    <w:rsid w:val="00D228E6"/>
    <w:rsid w:val="00D24F75"/>
    <w:rsid w:val="00D2650E"/>
    <w:rsid w:val="00D267A4"/>
    <w:rsid w:val="00D278B6"/>
    <w:rsid w:val="00D30406"/>
    <w:rsid w:val="00D3070F"/>
    <w:rsid w:val="00D37A5A"/>
    <w:rsid w:val="00D37DA5"/>
    <w:rsid w:val="00D408F2"/>
    <w:rsid w:val="00D410F0"/>
    <w:rsid w:val="00D42844"/>
    <w:rsid w:val="00D4364F"/>
    <w:rsid w:val="00D44099"/>
    <w:rsid w:val="00D4783F"/>
    <w:rsid w:val="00D55511"/>
    <w:rsid w:val="00D571D4"/>
    <w:rsid w:val="00D66BA3"/>
    <w:rsid w:val="00D76C7F"/>
    <w:rsid w:val="00D7790D"/>
    <w:rsid w:val="00D812CC"/>
    <w:rsid w:val="00D8448C"/>
    <w:rsid w:val="00D85C53"/>
    <w:rsid w:val="00D865A4"/>
    <w:rsid w:val="00D87C67"/>
    <w:rsid w:val="00D91C3A"/>
    <w:rsid w:val="00D92EC9"/>
    <w:rsid w:val="00D94E92"/>
    <w:rsid w:val="00D95764"/>
    <w:rsid w:val="00D95877"/>
    <w:rsid w:val="00D97FAA"/>
    <w:rsid w:val="00DA7E28"/>
    <w:rsid w:val="00DB4AD9"/>
    <w:rsid w:val="00DB55A1"/>
    <w:rsid w:val="00DB7389"/>
    <w:rsid w:val="00DC26F4"/>
    <w:rsid w:val="00DC2CF5"/>
    <w:rsid w:val="00DC4422"/>
    <w:rsid w:val="00DD0218"/>
    <w:rsid w:val="00DD1115"/>
    <w:rsid w:val="00DD5042"/>
    <w:rsid w:val="00DE3ABE"/>
    <w:rsid w:val="00DE3B05"/>
    <w:rsid w:val="00DE633F"/>
    <w:rsid w:val="00DE71D8"/>
    <w:rsid w:val="00DF03D7"/>
    <w:rsid w:val="00DF18A0"/>
    <w:rsid w:val="00DF342B"/>
    <w:rsid w:val="00DF3986"/>
    <w:rsid w:val="00E03EB9"/>
    <w:rsid w:val="00E04008"/>
    <w:rsid w:val="00E04924"/>
    <w:rsid w:val="00E05BCD"/>
    <w:rsid w:val="00E060F7"/>
    <w:rsid w:val="00E14487"/>
    <w:rsid w:val="00E170F2"/>
    <w:rsid w:val="00E203D3"/>
    <w:rsid w:val="00E218A3"/>
    <w:rsid w:val="00E25C65"/>
    <w:rsid w:val="00E25DEF"/>
    <w:rsid w:val="00E26135"/>
    <w:rsid w:val="00E2779C"/>
    <w:rsid w:val="00E33109"/>
    <w:rsid w:val="00E338C7"/>
    <w:rsid w:val="00E4094F"/>
    <w:rsid w:val="00E47080"/>
    <w:rsid w:val="00E537A2"/>
    <w:rsid w:val="00E5586B"/>
    <w:rsid w:val="00E5587F"/>
    <w:rsid w:val="00E55D63"/>
    <w:rsid w:val="00E644A8"/>
    <w:rsid w:val="00E66AE9"/>
    <w:rsid w:val="00E71234"/>
    <w:rsid w:val="00E823FA"/>
    <w:rsid w:val="00E86881"/>
    <w:rsid w:val="00E90A04"/>
    <w:rsid w:val="00E93A2B"/>
    <w:rsid w:val="00E9410F"/>
    <w:rsid w:val="00EA0E0F"/>
    <w:rsid w:val="00EA3ED9"/>
    <w:rsid w:val="00EA4D67"/>
    <w:rsid w:val="00EA5416"/>
    <w:rsid w:val="00EA69A0"/>
    <w:rsid w:val="00EA763A"/>
    <w:rsid w:val="00EB2087"/>
    <w:rsid w:val="00EB6ACC"/>
    <w:rsid w:val="00EB6FEA"/>
    <w:rsid w:val="00EC1846"/>
    <w:rsid w:val="00EC4675"/>
    <w:rsid w:val="00EC4A0B"/>
    <w:rsid w:val="00EC5DD6"/>
    <w:rsid w:val="00EC632F"/>
    <w:rsid w:val="00EC72E2"/>
    <w:rsid w:val="00EC7DC7"/>
    <w:rsid w:val="00ED0575"/>
    <w:rsid w:val="00ED2C0D"/>
    <w:rsid w:val="00ED5258"/>
    <w:rsid w:val="00ED6851"/>
    <w:rsid w:val="00ED6B47"/>
    <w:rsid w:val="00ED7DC8"/>
    <w:rsid w:val="00EE0396"/>
    <w:rsid w:val="00EE0522"/>
    <w:rsid w:val="00EE2440"/>
    <w:rsid w:val="00EE375E"/>
    <w:rsid w:val="00EE3BF8"/>
    <w:rsid w:val="00EE6D38"/>
    <w:rsid w:val="00EF4D66"/>
    <w:rsid w:val="00EF7145"/>
    <w:rsid w:val="00EF7220"/>
    <w:rsid w:val="00F022D5"/>
    <w:rsid w:val="00F02D59"/>
    <w:rsid w:val="00F0763F"/>
    <w:rsid w:val="00F14CCE"/>
    <w:rsid w:val="00F15AFA"/>
    <w:rsid w:val="00F15E29"/>
    <w:rsid w:val="00F17802"/>
    <w:rsid w:val="00F20CC8"/>
    <w:rsid w:val="00F20E6C"/>
    <w:rsid w:val="00F21C3A"/>
    <w:rsid w:val="00F21FC0"/>
    <w:rsid w:val="00F22638"/>
    <w:rsid w:val="00F23F8E"/>
    <w:rsid w:val="00F245BD"/>
    <w:rsid w:val="00F3524D"/>
    <w:rsid w:val="00F400FF"/>
    <w:rsid w:val="00F416B7"/>
    <w:rsid w:val="00F469C0"/>
    <w:rsid w:val="00F50823"/>
    <w:rsid w:val="00F50F06"/>
    <w:rsid w:val="00F539B4"/>
    <w:rsid w:val="00F549E7"/>
    <w:rsid w:val="00F61176"/>
    <w:rsid w:val="00F64126"/>
    <w:rsid w:val="00F64F60"/>
    <w:rsid w:val="00F67EE5"/>
    <w:rsid w:val="00F719C7"/>
    <w:rsid w:val="00F77ACD"/>
    <w:rsid w:val="00F83297"/>
    <w:rsid w:val="00F84110"/>
    <w:rsid w:val="00F90363"/>
    <w:rsid w:val="00F90747"/>
    <w:rsid w:val="00F96D7E"/>
    <w:rsid w:val="00F97162"/>
    <w:rsid w:val="00F973FD"/>
    <w:rsid w:val="00F97922"/>
    <w:rsid w:val="00FA12A3"/>
    <w:rsid w:val="00FA3577"/>
    <w:rsid w:val="00FA382F"/>
    <w:rsid w:val="00FB1EC7"/>
    <w:rsid w:val="00FB2B29"/>
    <w:rsid w:val="00FB7689"/>
    <w:rsid w:val="00FC38AD"/>
    <w:rsid w:val="00FC3994"/>
    <w:rsid w:val="00FC3B80"/>
    <w:rsid w:val="00FC7686"/>
    <w:rsid w:val="00FD0682"/>
    <w:rsid w:val="00FD1349"/>
    <w:rsid w:val="00FD25B9"/>
    <w:rsid w:val="00FD2FF7"/>
    <w:rsid w:val="00FD3B42"/>
    <w:rsid w:val="00FD5F80"/>
    <w:rsid w:val="00FE4958"/>
    <w:rsid w:val="00FE511E"/>
    <w:rsid w:val="00FE77D4"/>
    <w:rsid w:val="00FF0A90"/>
    <w:rsid w:val="00FF2540"/>
    <w:rsid w:val="00FF70B7"/>
    <w:rsid w:val="020A29CE"/>
    <w:rsid w:val="046A2A1D"/>
    <w:rsid w:val="04FB9ED0"/>
    <w:rsid w:val="068982BA"/>
    <w:rsid w:val="070F5DD0"/>
    <w:rsid w:val="087F0590"/>
    <w:rsid w:val="0B12E6AD"/>
    <w:rsid w:val="11F9DBDB"/>
    <w:rsid w:val="13684918"/>
    <w:rsid w:val="14ECF6EF"/>
    <w:rsid w:val="15A35DB0"/>
    <w:rsid w:val="1840BDFC"/>
    <w:rsid w:val="190FF0DD"/>
    <w:rsid w:val="1A650FE2"/>
    <w:rsid w:val="1C47F128"/>
    <w:rsid w:val="24B27697"/>
    <w:rsid w:val="28C0D66C"/>
    <w:rsid w:val="34D087E7"/>
    <w:rsid w:val="36831685"/>
    <w:rsid w:val="37C54D7B"/>
    <w:rsid w:val="3B706776"/>
    <w:rsid w:val="3E776A2D"/>
    <w:rsid w:val="458246C8"/>
    <w:rsid w:val="48052416"/>
    <w:rsid w:val="4BE8DD2C"/>
    <w:rsid w:val="50E53653"/>
    <w:rsid w:val="5103F8EE"/>
    <w:rsid w:val="549FBED6"/>
    <w:rsid w:val="55B8A776"/>
    <w:rsid w:val="5755F473"/>
    <w:rsid w:val="5D650EE2"/>
    <w:rsid w:val="6270B8C1"/>
    <w:rsid w:val="643AE865"/>
    <w:rsid w:val="6808F631"/>
    <w:rsid w:val="6E652D72"/>
    <w:rsid w:val="7456A66D"/>
    <w:rsid w:val="751648A1"/>
    <w:rsid w:val="7559BBF7"/>
    <w:rsid w:val="7A9466F0"/>
    <w:rsid w:val="7B9AE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8D4F460"/>
  <w15:docId w15:val="{479BCE6D-581E-42FB-B3D6-B0D7BFEF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257BF4"/>
    <w:pPr>
      <w:keepNext/>
      <w:keepLines/>
      <w:pageBreakBefore/>
      <w:spacing w:before="0" w:after="1800" w:line="540" w:lineRule="atLeast"/>
      <w:outlineLvl w:val="0"/>
    </w:pPr>
    <w:rPr>
      <w:rFonts w:asciiTheme="majorHAnsi" w:eastAsiaTheme="majorEastAsia" w:hAnsiTheme="majorHAnsi" w:cstheme="majorBidi"/>
      <w:b/>
      <w:color w:val="004D7D"/>
      <w:sz w:val="48"/>
      <w:szCs w:val="32"/>
    </w:rPr>
  </w:style>
  <w:style w:type="paragraph" w:styleId="Heading2">
    <w:name w:val="heading 2"/>
    <w:basedOn w:val="Normal"/>
    <w:next w:val="Normal"/>
    <w:link w:val="Heading2Char"/>
    <w:uiPriority w:val="9"/>
    <w:qFormat/>
    <w:rsid w:val="00257BF4"/>
    <w:pPr>
      <w:keepNext/>
      <w:keepLines/>
      <w:spacing w:before="480" w:after="240" w:line="500" w:lineRule="atLeast"/>
      <w:outlineLvl w:val="1"/>
    </w:pPr>
    <w:rPr>
      <w:rFonts w:asciiTheme="majorHAnsi" w:eastAsiaTheme="majorEastAsia" w:hAnsiTheme="majorHAnsi" w:cstheme="majorBidi"/>
      <w:color w:val="004D7D"/>
      <w:sz w:val="44"/>
      <w:szCs w:val="26"/>
    </w:rPr>
  </w:style>
  <w:style w:type="paragraph" w:styleId="Heading3">
    <w:name w:val="heading 3"/>
    <w:basedOn w:val="Normal"/>
    <w:next w:val="Normal"/>
    <w:link w:val="Heading3Char"/>
    <w:uiPriority w:val="9"/>
    <w:qFormat/>
    <w:rsid w:val="00257BF4"/>
    <w:pPr>
      <w:keepNext/>
      <w:keepLines/>
      <w:spacing w:before="480" w:after="240" w:line="380" w:lineRule="atLeast"/>
      <w:outlineLvl w:val="2"/>
    </w:pPr>
    <w:rPr>
      <w:rFonts w:asciiTheme="majorHAnsi" w:eastAsiaTheme="majorEastAsia" w:hAnsiTheme="majorHAnsi" w:cstheme="majorBidi"/>
      <w:color w:val="004D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257BF4"/>
    <w:rPr>
      <w:rFonts w:asciiTheme="majorHAnsi" w:eastAsiaTheme="majorEastAsia" w:hAnsiTheme="majorHAnsi" w:cstheme="majorBidi"/>
      <w:color w:val="004D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B422EC"/>
    <w:pPr>
      <w:numPr>
        <w:numId w:val="15"/>
      </w:numPr>
    </w:pPr>
  </w:style>
  <w:style w:type="paragraph" w:customStyle="1" w:styleId="Bullet2">
    <w:name w:val="Bullet 2"/>
    <w:basedOn w:val="Normal"/>
    <w:uiPriority w:val="2"/>
    <w:qFormat/>
    <w:rsid w:val="00B422EC"/>
    <w:pPr>
      <w:numPr>
        <w:ilvl w:val="1"/>
        <w:numId w:val="16"/>
      </w:numPr>
    </w:pPr>
  </w:style>
  <w:style w:type="paragraph" w:customStyle="1" w:styleId="Bullet3">
    <w:name w:val="Bullet 3"/>
    <w:basedOn w:val="Normal"/>
    <w:uiPriority w:val="2"/>
    <w:qFormat/>
    <w:rsid w:val="00B422EC"/>
    <w:pPr>
      <w:numPr>
        <w:ilvl w:val="2"/>
        <w:numId w:val="16"/>
      </w:numPr>
    </w:pPr>
  </w:style>
  <w:style w:type="paragraph" w:customStyle="1" w:styleId="FigureTitle">
    <w:name w:val="Figure Title"/>
    <w:basedOn w:val="Normal"/>
    <w:uiPriority w:val="12"/>
    <w:qFormat/>
    <w:rsid w:val="005B458E"/>
    <w:pPr>
      <w:keepNext/>
      <w:numPr>
        <w:numId w:val="3"/>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4"/>
      </w:numPr>
    </w:pPr>
  </w:style>
  <w:style w:type="character" w:customStyle="1" w:styleId="Heading1Char">
    <w:name w:val="Heading 1 Char"/>
    <w:basedOn w:val="DefaultParagraphFont"/>
    <w:link w:val="Heading1"/>
    <w:uiPriority w:val="9"/>
    <w:rsid w:val="00257BF4"/>
    <w:rPr>
      <w:rFonts w:asciiTheme="majorHAnsi" w:eastAsiaTheme="majorEastAsia" w:hAnsiTheme="majorHAnsi" w:cstheme="majorBidi"/>
      <w:b/>
      <w:color w:val="004D7D"/>
      <w:sz w:val="48"/>
      <w:szCs w:val="32"/>
    </w:rPr>
  </w:style>
  <w:style w:type="paragraph" w:customStyle="1" w:styleId="Heading2Numbered">
    <w:name w:val="Heading 2 Numbered"/>
    <w:basedOn w:val="Heading2"/>
    <w:uiPriority w:val="10"/>
    <w:qFormat/>
    <w:rsid w:val="005B458E"/>
    <w:pPr>
      <w:numPr>
        <w:ilvl w:val="1"/>
        <w:numId w:val="4"/>
      </w:numPr>
    </w:pPr>
  </w:style>
  <w:style w:type="paragraph" w:customStyle="1" w:styleId="Heading3Numbered">
    <w:name w:val="Heading 3 Numbered"/>
    <w:basedOn w:val="Heading3"/>
    <w:uiPriority w:val="10"/>
    <w:qFormat/>
    <w:rsid w:val="005B458E"/>
    <w:pPr>
      <w:numPr>
        <w:ilvl w:val="2"/>
        <w:numId w:val="4"/>
      </w:numPr>
    </w:pPr>
  </w:style>
  <w:style w:type="character" w:customStyle="1" w:styleId="Heading3Char">
    <w:name w:val="Heading 3 Char"/>
    <w:basedOn w:val="DefaultParagraphFont"/>
    <w:link w:val="Heading3"/>
    <w:uiPriority w:val="9"/>
    <w:rsid w:val="00257BF4"/>
    <w:rPr>
      <w:rFonts w:asciiTheme="majorHAnsi" w:eastAsiaTheme="majorEastAsia" w:hAnsiTheme="majorHAnsi" w:cstheme="majorBidi"/>
      <w:color w:val="004D7D"/>
      <w:sz w:val="32"/>
      <w:szCs w:val="24"/>
    </w:rPr>
  </w:style>
  <w:style w:type="paragraph" w:customStyle="1" w:styleId="Heading4Numbered">
    <w:name w:val="Heading 4 Numbered"/>
    <w:basedOn w:val="Heading4"/>
    <w:uiPriority w:val="10"/>
    <w:qFormat/>
    <w:rsid w:val="005B458E"/>
    <w:pPr>
      <w:numPr>
        <w:ilvl w:val="3"/>
        <w:numId w:val="4"/>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4"/>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4"/>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4"/>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5"/>
      </w:numPr>
    </w:pPr>
  </w:style>
  <w:style w:type="paragraph" w:customStyle="1" w:styleId="List1Numbered2">
    <w:name w:val="List 1 Numbered 2"/>
    <w:basedOn w:val="Normal"/>
    <w:uiPriority w:val="2"/>
    <w:qFormat/>
    <w:rsid w:val="005B458E"/>
    <w:pPr>
      <w:numPr>
        <w:ilvl w:val="1"/>
        <w:numId w:val="5"/>
      </w:numPr>
    </w:pPr>
  </w:style>
  <w:style w:type="paragraph" w:customStyle="1" w:styleId="List1Numbered3">
    <w:name w:val="List 1 Numbered 3"/>
    <w:basedOn w:val="Normal"/>
    <w:uiPriority w:val="2"/>
    <w:qFormat/>
    <w:rsid w:val="005B458E"/>
    <w:pPr>
      <w:numPr>
        <w:ilvl w:val="2"/>
        <w:numId w:val="5"/>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6"/>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7"/>
      </w:numPr>
    </w:pPr>
  </w:style>
  <w:style w:type="paragraph" w:customStyle="1" w:styleId="TableTitle">
    <w:name w:val="Table Title"/>
    <w:basedOn w:val="FigureTitle"/>
    <w:uiPriority w:val="12"/>
    <w:qFormat/>
    <w:rsid w:val="005B458E"/>
    <w:pPr>
      <w:numPr>
        <w:numId w:val="8"/>
      </w:numPr>
    </w:pPr>
  </w:style>
  <w:style w:type="paragraph" w:customStyle="1" w:styleId="PullOut-Pink">
    <w:name w:val="Pull Out - Pink"/>
    <w:basedOn w:val="PullOut-Teal"/>
    <w:uiPriority w:val="22"/>
    <w:qFormat/>
    <w:rsid w:val="005B458E"/>
    <w:pPr>
      <w:numPr>
        <w:numId w:val="9"/>
      </w:numPr>
    </w:pPr>
  </w:style>
  <w:style w:type="paragraph" w:customStyle="1" w:styleId="PullOut-Yellow">
    <w:name w:val="Pull Out - Yellow"/>
    <w:basedOn w:val="PullOut-Teal"/>
    <w:qFormat/>
    <w:rsid w:val="005B458E"/>
    <w:pPr>
      <w:numPr>
        <w:numId w:val="10"/>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qFormat/>
    <w:rsid w:val="00B759C1"/>
    <w:pPr>
      <w:numPr>
        <w:numId w:val="11"/>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qFormat/>
    <w:rsid w:val="00B759C1"/>
    <w:pPr>
      <w:numPr>
        <w:numId w:val="12"/>
      </w:numPr>
    </w:pPr>
  </w:style>
  <w:style w:type="character" w:customStyle="1" w:styleId="BulletsL1Char">
    <w:name w:val="Bullets L1 Char"/>
    <w:basedOn w:val="DefaultParagraphFont"/>
    <w:link w:val="BulletsL1"/>
    <w:rsid w:val="00B759C1"/>
    <w:rPr>
      <w:rFonts w:ascii="Arial" w:hAnsi="Arial"/>
      <w:color w:val="auto"/>
      <w:lang w:val="en-US"/>
    </w:rPr>
  </w:style>
  <w:style w:type="character" w:customStyle="1" w:styleId="BulletsL2Char">
    <w:name w:val="Bullets L2 Char"/>
    <w:basedOn w:val="BulletsL1Char"/>
    <w:link w:val="BulletsL2"/>
    <w:rsid w:val="00B759C1"/>
    <w:rPr>
      <w:rFonts w:ascii="Arial" w:hAnsi="Arial"/>
      <w:color w:val="auto"/>
      <w:lang w:val="en-US"/>
    </w:rPr>
  </w:style>
  <w:style w:type="paragraph" w:styleId="FootnoteText">
    <w:name w:val="footnote text"/>
    <w:basedOn w:val="Normal"/>
    <w:link w:val="FootnoteTextChar"/>
    <w:uiPriority w:val="99"/>
    <w:semiHidden/>
    <w:unhideWhenUsed/>
    <w:rsid w:val="00B759C1"/>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759C1"/>
    <w:rPr>
      <w:color w:val="auto"/>
      <w:sz w:val="20"/>
      <w:szCs w:val="20"/>
      <w:lang w:val="en-GB"/>
    </w:rPr>
  </w:style>
  <w:style w:type="character" w:styleId="FootnoteReference">
    <w:name w:val="footnote reference"/>
    <w:basedOn w:val="DefaultParagraphFont"/>
    <w:uiPriority w:val="99"/>
    <w:semiHidden/>
    <w:unhideWhenUsed/>
    <w:rsid w:val="00B759C1"/>
    <w:rPr>
      <w:vertAlign w:val="superscript"/>
    </w:rPr>
  </w:style>
  <w:style w:type="character" w:styleId="Hyperlink">
    <w:name w:val="Hyperlink"/>
    <w:basedOn w:val="DefaultParagraphFont"/>
    <w:uiPriority w:val="99"/>
    <w:unhideWhenUsed/>
    <w:rsid w:val="005F0A3B"/>
    <w:rPr>
      <w:color w:val="004D7D"/>
      <w:u w:val="single"/>
    </w:rPr>
  </w:style>
  <w:style w:type="paragraph" w:customStyle="1" w:styleId="Normal1">
    <w:name w:val="Normal1"/>
    <w:basedOn w:val="Normal"/>
    <w:rsid w:val="00B759C1"/>
    <w:pPr>
      <w:spacing w:before="0" w:after="0" w:line="276" w:lineRule="auto"/>
    </w:pPr>
    <w:rPr>
      <w:rFonts w:ascii="Arial" w:hAnsi="Arial" w:cs="Arial"/>
      <w:color w:val="000000"/>
    </w:rPr>
  </w:style>
  <w:style w:type="paragraph" w:styleId="ListParagraph">
    <w:name w:val="List Paragraph"/>
    <w:basedOn w:val="Normal"/>
    <w:uiPriority w:val="34"/>
    <w:rsid w:val="00B759C1"/>
    <w:pPr>
      <w:ind w:left="720"/>
      <w:contextualSpacing/>
    </w:pPr>
  </w:style>
  <w:style w:type="character" w:styleId="SubtleEmphasis">
    <w:name w:val="Subtle Emphasis"/>
    <w:basedOn w:val="DefaultParagraphFont"/>
    <w:uiPriority w:val="19"/>
    <w:qFormat/>
    <w:rsid w:val="00B759C1"/>
    <w:rPr>
      <w:i/>
      <w:iCs/>
      <w:color w:val="808080" w:themeColor="text1" w:themeTint="7F"/>
    </w:rPr>
  </w:style>
  <w:style w:type="character" w:styleId="CommentReference">
    <w:name w:val="annotation reference"/>
    <w:basedOn w:val="DefaultParagraphFont"/>
    <w:uiPriority w:val="99"/>
    <w:semiHidden/>
    <w:unhideWhenUsed/>
    <w:rsid w:val="008C08FB"/>
    <w:rPr>
      <w:sz w:val="16"/>
      <w:szCs w:val="16"/>
    </w:rPr>
  </w:style>
  <w:style w:type="paragraph" w:styleId="CommentText">
    <w:name w:val="annotation text"/>
    <w:basedOn w:val="Normal"/>
    <w:link w:val="CommentTextChar"/>
    <w:uiPriority w:val="99"/>
    <w:unhideWhenUsed/>
    <w:rsid w:val="008C08FB"/>
    <w:rPr>
      <w:sz w:val="20"/>
      <w:szCs w:val="20"/>
    </w:rPr>
  </w:style>
  <w:style w:type="character" w:customStyle="1" w:styleId="CommentTextChar">
    <w:name w:val="Comment Text Char"/>
    <w:basedOn w:val="DefaultParagraphFont"/>
    <w:link w:val="CommentText"/>
    <w:uiPriority w:val="99"/>
    <w:rsid w:val="008C08FB"/>
    <w:rPr>
      <w:sz w:val="20"/>
      <w:szCs w:val="20"/>
    </w:rPr>
  </w:style>
  <w:style w:type="paragraph" w:styleId="CommentSubject">
    <w:name w:val="annotation subject"/>
    <w:basedOn w:val="CommentText"/>
    <w:next w:val="CommentText"/>
    <w:link w:val="CommentSubjectChar"/>
    <w:uiPriority w:val="99"/>
    <w:semiHidden/>
    <w:unhideWhenUsed/>
    <w:rsid w:val="008C08FB"/>
    <w:rPr>
      <w:b/>
      <w:bCs/>
    </w:rPr>
  </w:style>
  <w:style w:type="character" w:customStyle="1" w:styleId="CommentSubjectChar">
    <w:name w:val="Comment Subject Char"/>
    <w:basedOn w:val="CommentTextChar"/>
    <w:link w:val="CommentSubject"/>
    <w:uiPriority w:val="99"/>
    <w:semiHidden/>
    <w:rsid w:val="008C08FB"/>
    <w:rPr>
      <w:b/>
      <w:bCs/>
      <w:sz w:val="20"/>
      <w:szCs w:val="20"/>
    </w:rPr>
  </w:style>
  <w:style w:type="paragraph" w:styleId="Revision">
    <w:name w:val="Revision"/>
    <w:hidden/>
    <w:uiPriority w:val="99"/>
    <w:semiHidden/>
    <w:rsid w:val="008C08FB"/>
    <w:pPr>
      <w:spacing w:before="0" w:after="0"/>
    </w:pPr>
  </w:style>
  <w:style w:type="character" w:styleId="FollowedHyperlink">
    <w:name w:val="FollowedHyperlink"/>
    <w:basedOn w:val="DefaultParagraphFont"/>
    <w:uiPriority w:val="99"/>
    <w:semiHidden/>
    <w:unhideWhenUsed/>
    <w:rsid w:val="00E93A2B"/>
    <w:rPr>
      <w:color w:val="00847E" w:themeColor="followedHyperlink"/>
      <w:u w:val="single"/>
    </w:rPr>
  </w:style>
  <w:style w:type="character" w:styleId="UnresolvedMention">
    <w:name w:val="Unresolved Mention"/>
    <w:basedOn w:val="DefaultParagraphFont"/>
    <w:uiPriority w:val="99"/>
    <w:semiHidden/>
    <w:unhideWhenUsed/>
    <w:rsid w:val="003E02F2"/>
    <w:rPr>
      <w:color w:val="605E5C"/>
      <w:shd w:val="clear" w:color="auto" w:fill="E1DFDD"/>
    </w:rPr>
  </w:style>
  <w:style w:type="table" w:styleId="TableGrid">
    <w:name w:val="Table Grid"/>
    <w:basedOn w:val="TableNormal"/>
    <w:uiPriority w:val="59"/>
    <w:rsid w:val="007929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422EC"/>
    <w:pPr>
      <w:spacing w:before="0" w:after="0"/>
    </w:pPr>
    <w:rPr>
      <w:sz w:val="20"/>
      <w:szCs w:val="20"/>
    </w:rPr>
  </w:style>
  <w:style w:type="character" w:customStyle="1" w:styleId="EndnoteTextChar">
    <w:name w:val="Endnote Text Char"/>
    <w:basedOn w:val="DefaultParagraphFont"/>
    <w:link w:val="EndnoteText"/>
    <w:uiPriority w:val="99"/>
    <w:semiHidden/>
    <w:rsid w:val="00B422EC"/>
    <w:rPr>
      <w:sz w:val="20"/>
      <w:szCs w:val="20"/>
    </w:rPr>
  </w:style>
  <w:style w:type="character" w:styleId="EndnoteReference">
    <w:name w:val="endnote reference"/>
    <w:basedOn w:val="DefaultParagraphFont"/>
    <w:uiPriority w:val="99"/>
    <w:semiHidden/>
    <w:unhideWhenUsed/>
    <w:rsid w:val="00B42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02892">
      <w:bodyDiv w:val="1"/>
      <w:marLeft w:val="0"/>
      <w:marRight w:val="0"/>
      <w:marTop w:val="0"/>
      <w:marBottom w:val="0"/>
      <w:divBdr>
        <w:top w:val="none" w:sz="0" w:space="0" w:color="auto"/>
        <w:left w:val="none" w:sz="0" w:space="0" w:color="auto"/>
        <w:bottom w:val="none" w:sz="0" w:space="0" w:color="auto"/>
        <w:right w:val="none" w:sz="0" w:space="0" w:color="auto"/>
      </w:divBdr>
    </w:div>
    <w:div w:id="1440446265">
      <w:bodyDiv w:val="1"/>
      <w:marLeft w:val="0"/>
      <w:marRight w:val="0"/>
      <w:marTop w:val="0"/>
      <w:marBottom w:val="0"/>
      <w:divBdr>
        <w:top w:val="none" w:sz="0" w:space="0" w:color="auto"/>
        <w:left w:val="none" w:sz="0" w:space="0" w:color="auto"/>
        <w:bottom w:val="none" w:sz="0" w:space="0" w:color="auto"/>
        <w:right w:val="none" w:sz="0" w:space="0" w:color="auto"/>
      </w:divBdr>
    </w:div>
    <w:div w:id="1460025594">
      <w:bodyDiv w:val="1"/>
      <w:marLeft w:val="0"/>
      <w:marRight w:val="0"/>
      <w:marTop w:val="0"/>
      <w:marBottom w:val="0"/>
      <w:divBdr>
        <w:top w:val="none" w:sz="0" w:space="0" w:color="auto"/>
        <w:left w:val="none" w:sz="0" w:space="0" w:color="auto"/>
        <w:bottom w:val="none" w:sz="0" w:space="0" w:color="auto"/>
        <w:right w:val="none" w:sz="0" w:space="0" w:color="auto"/>
      </w:divBdr>
    </w:div>
    <w:div w:id="15631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2C0006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au/Details/F2017L01182" TargetMode="External"/><Relationship Id="rId17" Type="http://schemas.openxmlformats.org/officeDocument/2006/relationships/hyperlink" Target="https://www.legislation.gov.au/Details/C2022C0000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eqsa.gov.au/latest-news/publications/guidance-note-research-and-research-trai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C0010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Details/C2022C00005"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7L01182"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29e38-55be-4b09-962a-7a6393de1361">
      <Value>3</Value>
      <Value>2</Value>
      <Value>1</Value>
    </TaxCatchAll>
    <Status xmlns="292dd51f-c3e5-45fb-bb52-f0a96cb7d027">Draft</Status>
    <p2841a2f4f0e46edb9ade446fe7c03eb xmlns="292dd51f-c3e5-45fb-bb52-f0a96cb7d027">
      <Terms xmlns="http://schemas.microsoft.com/office/infopath/2007/PartnerControls">
        <TermInfo xmlns="http://schemas.microsoft.com/office/infopath/2007/PartnerControls">
          <TermName xmlns="http://schemas.microsoft.com/office/infopath/2007/PartnerControls">External Relations</TermName>
          <TermId xmlns="http://schemas.microsoft.com/office/infopath/2007/PartnerControls">8003538d-cbbc-40ec-a138-45260a67bcf5</TermId>
        </TermInfo>
      </Terms>
    </p2841a2f4f0e46edb9ade446fe7c03eb>
    <lf00f7cae6154b588c712167af0e92c2 xmlns="292dd51f-c3e5-45fb-bb52-f0a96cb7d027">
      <Terms xmlns="http://schemas.microsoft.com/office/infopath/2007/PartnerControls">
        <TermInfo xmlns="http://schemas.microsoft.com/office/infopath/2007/PartnerControls">
          <TermName xmlns="http://schemas.microsoft.com/office/infopath/2007/PartnerControls">Guidance Note</TermName>
          <TermId xmlns="http://schemas.microsoft.com/office/infopath/2007/PartnerControls">ebf409d7-0b48-4543-bcde-c43c4066fc8c</TermId>
        </TermInfo>
      </Terms>
    </lf00f7cae6154b588c712167af0e92c2>
    <Category xmlns="292dd51f-c3e5-45fb-bb52-f0a96cb7d027">Guidance</Category>
    <j5c7243103eb4a8f8bdb102a5810412a xmlns="292dd51f-c3e5-45fb-bb52-f0a96cb7d027">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ea2fedc5-f041-4824-a983-f8f3eeeb6dfc</TermId>
        </TermInfo>
      </Terms>
    </j5c7243103eb4a8f8bdb102a5810412a>
    <Assignedto xmlns="292dd51f-c3e5-45fb-bb52-f0a96cb7d027">Rodny</Assignedto>
    <ContextualStatus xmlns="292dd51f-c3e5-45fb-bb52-f0a96cb7d027">Ready for Consultation (external)</ContextualStatus>
    <_Flow_SignoffStatus xmlns="292dd51f-c3e5-45fb-bb52-f0a96cb7d027" xsi:nil="true"/>
    <DocumentDate xmlns="292dd51f-c3e5-45fb-bb52-f0a96cb7d027" xsi:nil="true"/>
    <GuidanceNote xmlns="292dd51f-c3e5-45fb-bb52-f0a96cb7d027" xsi:nil="true"/>
    <Date xmlns="292dd51f-c3e5-45fb-bb52-f0a96cb7d027">2023-06-21T00:12:48+00:00</Date>
    <Reviewed xmlns="292dd51f-c3e5-45fb-bb52-f0a96cb7d0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63AF37CA3B51428CD9C68A4D71EEA0" ma:contentTypeVersion="25" ma:contentTypeDescription="Create a new document." ma:contentTypeScope="" ma:versionID="377eb8b9416920ed01e4e15395c8ec1f">
  <xsd:schema xmlns:xsd="http://www.w3.org/2001/XMLSchema" xmlns:xs="http://www.w3.org/2001/XMLSchema" xmlns:p="http://schemas.microsoft.com/office/2006/metadata/properties" xmlns:ns2="292dd51f-c3e5-45fb-bb52-f0a96cb7d027" xmlns:ns3="83929e38-55be-4b09-962a-7a6393de1361" targetNamespace="http://schemas.microsoft.com/office/2006/metadata/properties" ma:root="true" ma:fieldsID="13dc74ee2261159015a247f172f068ae" ns2:_="" ns3:_="">
    <xsd:import namespace="292dd51f-c3e5-45fb-bb52-f0a96cb7d027"/>
    <xsd:import namespace="83929e38-55be-4b09-962a-7a6393de1361"/>
    <xsd:element name="properties">
      <xsd:complexType>
        <xsd:sequence>
          <xsd:element name="documentManagement">
            <xsd:complexType>
              <xsd:all>
                <xsd:element ref="ns2:Category" minOccurs="0"/>
                <xsd:element ref="ns2:Status" minOccurs="0"/>
                <xsd:element ref="ns2:Assignedto" minOccurs="0"/>
                <xsd:element ref="ns2:ContextualStatus" minOccurs="0"/>
                <xsd:element ref="ns2:GuidanceNote" minOccurs="0"/>
                <xsd:element ref="ns2:_Flow_SignoffStatus" minOccurs="0"/>
                <xsd:element ref="ns2:Date" minOccurs="0"/>
                <xsd:element ref="ns3:TaxCatchAll" minOccurs="0"/>
                <xsd:element ref="ns2:j5c7243103eb4a8f8bdb102a5810412a" minOccurs="0"/>
                <xsd:element ref="ns2:lf00f7cae6154b588c712167af0e92c2" minOccurs="0"/>
                <xsd:element ref="ns2:MediaServiceMetadata" minOccurs="0"/>
                <xsd:element ref="ns2:MediaServiceFastMetadata" minOccurs="0"/>
                <xsd:element ref="ns3:SharedWithUsers" minOccurs="0"/>
                <xsd:element ref="ns3:SharedWithDetails" minOccurs="0"/>
                <xsd:element ref="ns2:p2841a2f4f0e46edb9ade446fe7c03eb" minOccurs="0"/>
                <xsd:element ref="ns2:DocumentDate" minOccurs="0"/>
                <xsd:element ref="ns2:MediaServiceObjectDetectorVersions"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dd51f-c3e5-45fb-bb52-f0a96cb7d027" elementFormDefault="qualified">
    <xsd:import namespace="http://schemas.microsoft.com/office/2006/documentManagement/types"/>
    <xsd:import namespace="http://schemas.microsoft.com/office/infopath/2007/PartnerControls"/>
    <xsd:element name="Category" ma:index="3" nillable="true" ma:displayName="Category" ma:format="Dropdown" ma:internalName="Category" ma:readOnly="false">
      <xsd:simpleType>
        <xsd:restriction base="dms:Choice">
          <xsd:enumeration value="Analysis"/>
          <xsd:enumeration value="Commission Brief"/>
          <xsd:enumeration value="Commission Notes"/>
          <xsd:enumeration value="ELT Brief"/>
          <xsd:enumeration value="External Consultation"/>
          <xsd:enumeration value="External Correspondence"/>
          <xsd:enumeration value="External Resources"/>
          <xsd:enumeration value="Guidance"/>
          <xsd:enumeration value="Internal Consultation"/>
          <xsd:enumeration value="Media"/>
          <xsd:enumeration value="Meeting Notes"/>
          <xsd:enumeration value="Project plans"/>
          <xsd:enumeration value="Reports"/>
          <xsd:enumeration value="Research"/>
          <xsd:enumeration value="Webinars"/>
          <xsd:enumeration value="Presentations"/>
        </xsd:restriction>
      </xsd:simpleType>
    </xsd:element>
    <xsd:element name="Status" ma:index="4" nillable="true" ma:displayName="Status" ma:default="Draft" ma:format="Dropdown" ma:internalName="Status" ma:readOnly="false">
      <xsd:simpleType>
        <xsd:restriction base="dms:Choice">
          <xsd:enumeration value="Draft"/>
          <xsd:enumeration value="Final"/>
          <xsd:enumeration value="Published"/>
        </xsd:restriction>
      </xsd:simpleType>
    </xsd:element>
    <xsd:element name="Assignedto" ma:index="5" nillable="true" ma:displayName="Assigned to" ma:description="Officer who is assigned the task" ma:format="Dropdown" ma:internalName="Assignedto" ma:readOnly="false">
      <xsd:simpleType>
        <xsd:restriction base="dms:Choice">
          <xsd:enumeration value="Graem"/>
          <xsd:enumeration value="Rodny"/>
          <xsd:enumeration value="Ben"/>
          <xsd:enumeration value="Complete"/>
          <xsd:enumeration value="Unassigned"/>
        </xsd:restriction>
      </xsd:simpleType>
    </xsd:element>
    <xsd:element name="ContextualStatus" ma:index="6" nillable="true" ma:displayName="Contextual Status" ma:description="Additional Contextual Status" ma:format="Dropdown" ma:internalName="ContextualStatus" ma:readOnly="false">
      <xsd:simpleType>
        <xsd:restriction base="dms:Choice">
          <xsd:enumeration value="Initial Drafting"/>
          <xsd:enumeration value="Ready for Consultation (internal)"/>
          <xsd:enumeration value="Internal Consultation (waiting)"/>
          <xsd:enumeration value="Internally Consulted"/>
          <xsd:enumeration value="Commission first review"/>
          <xsd:enumeration value="Incorp First Commission Feedback"/>
          <xsd:enumeration value="Ready for Consultation (external)"/>
          <xsd:enumeration value="External Consultation (waiting)"/>
          <xsd:enumeration value="Externally Consulted"/>
          <xsd:enumeration value="Commission final review"/>
          <xsd:enumeration value="Complete"/>
          <xsd:enumeration value="Ready for publication"/>
        </xsd:restriction>
      </xsd:simpleType>
    </xsd:element>
    <xsd:element name="GuidanceNote" ma:index="7" nillable="true" ma:displayName="Guidance Note" ma:description="The Guidance Note the document relates to." ma:format="Dropdown" ma:internalName="GuidanceNote">
      <xsd:simpleType>
        <xsd:restriction base="dms:Choice">
          <xsd:enumeration value="Definition - Active in Research"/>
          <xsd:enumeration value="Corporate Monitoring and Accountability"/>
          <xsd:enumeration value="Corporate Governance"/>
          <xsd:enumeration value="Course Approval and Accreditation"/>
          <xsd:enumeration value="Information Management"/>
          <xsd:enumeration value="Orientation and progression"/>
          <xsd:enumeration value="Qualifications and certification"/>
          <xsd:enumeration value="Student Grievances and Complaints"/>
          <xsd:enumeration value="Academic Governance"/>
          <xsd:enumeration value="Student Wellbeing and Safety"/>
          <xsd:enumeration value="Diversity and Equity"/>
          <xsd:enumeration value="Facilities and infrastructure"/>
          <xsd:enumeration value="Monitoring, Review and Improvement"/>
          <xsd:enumeration value="Representation"/>
          <xsd:enumeration value="Delivery with other parties"/>
          <xsd:enumeration value="Research Requirements for Aus Universities"/>
          <xsd:enumeration value="Research and Research Training"/>
          <xsd:enumeration value="Academic Governance"/>
          <xsd:enumeration value="Choice 19"/>
        </xsd:restriction>
      </xsd:simpleType>
    </xsd:element>
    <xsd:element name="_Flow_SignoffStatus" ma:index="8" nillable="true" ma:displayName="Sign-off status" ma:internalName="Sign_x002d_off_x0020_status" ma:readOnly="false">
      <xsd:simpleType>
        <xsd:restriction base="dms:Text"/>
      </xsd:simpleType>
    </xsd:element>
    <xsd:element name="Date" ma:index="9" nillable="true" ma:displayName="Date" ma:default="[today]" ma:format="DateOnly" ma:internalName="Date" ma:readOnly="false">
      <xsd:simpleType>
        <xsd:restriction base="dms:DateTime"/>
      </xsd:simpleType>
    </xsd:element>
    <xsd:element name="j5c7243103eb4a8f8bdb102a5810412a" ma:index="12" nillable="true" ma:taxonomy="true" ma:internalName="j5c7243103eb4a8f8bdb102a5810412a" ma:taxonomyFieldName="Activity_x0020_Name" ma:displayName="Activity Name" ma:readOnly="false" ma:default="2;#Projects|ea2fedc5-f041-4824-a983-f8f3eeeb6dfc"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4" nillable="true"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p2841a2f4f0e46edb9ade446fe7c03eb" ma:index="24" nillable="true" ma:taxonomy="true" ma:internalName="p2841a2f4f0e46edb9ade446fe7c03eb" ma:taxonomyFieldName="Function_x0020_Name" ma:displayName="Function Name" ma:readOnly="false" ma:default="1;#External Relations|8003538d-cbbc-40ec-a138-45260a67bcf5"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DocumentDate" ma:index="26" nillable="true" ma:displayName="Project End Date" ma:format="DateOnly" ma:hidden="true" ma:internalName="DocumentDate" ma:readOnly="false">
      <xsd:simpleType>
        <xsd:restriction base="dms:DateTim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Reviewed" ma:index="28" nillable="true" ma:displayName="Reviewed" ma:format="Dropdown" ma:internalName="Reviewed">
      <xsd:simpleType>
        <xsd:restriction base="dms:Choice">
          <xsd:enumeration value="Reviewed "/>
          <xsd:enumeration value="Choice 2"/>
        </xsd:restriction>
      </xsd:simpleType>
    </xsd:element>
  </xsd:schema>
  <xsd:schema xmlns:xsd="http://www.w3.org/2001/XMLSchema" xmlns:xs="http://www.w3.org/2001/XMLSchema" xmlns:dms="http://schemas.microsoft.com/office/2006/documentManagement/types" xmlns:pc="http://schemas.microsoft.com/office/infopath/2007/PartnerControls" targetNamespace="83929e38-55be-4b09-962a-7a6393de1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c4db1e4-8662-4c89-b91e-70a7b413135f}" ma:internalName="TaxCatchAll" ma:readOnly="false" ma:showField="CatchAllData" ma:web="83929e38-55be-4b09-962a-7a6393de13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1B5C7-9E51-4834-9887-F9A97C4929FA}">
  <ds:schemaRefs>
    <ds:schemaRef ds:uri="http://schemas.openxmlformats.org/officeDocument/2006/bibliography"/>
  </ds:schemaRefs>
</ds:datastoreItem>
</file>

<file path=customXml/itemProps2.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3.xml><?xml version="1.0" encoding="utf-8"?>
<ds:datastoreItem xmlns:ds="http://schemas.openxmlformats.org/officeDocument/2006/customXml" ds:itemID="{A82E1C12-8773-409A-B29D-4FC4E6BF5F01}">
  <ds:schemaRefs>
    <ds:schemaRef ds:uri="http://schemas.microsoft.com/office/2006/metadata/properties"/>
    <ds:schemaRef ds:uri="http://www.w3.org/XML/1998/namespace"/>
    <ds:schemaRef ds:uri="http://purl.org/dc/dcmitype/"/>
    <ds:schemaRef ds:uri="83929e38-55be-4b09-962a-7a6393de1361"/>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292dd51f-c3e5-45fb-bb52-f0a96cb7d027"/>
  </ds:schemaRefs>
</ds:datastoreItem>
</file>

<file path=customXml/itemProps4.xml><?xml version="1.0" encoding="utf-8"?>
<ds:datastoreItem xmlns:ds="http://schemas.openxmlformats.org/officeDocument/2006/customXml" ds:itemID="{738B203E-D010-45C3-B798-FE6D56B53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dd51f-c3e5-45fb-bb52-f0a96cb7d027"/>
    <ds:schemaRef ds:uri="83929e38-55be-4b09-962a-7a6393de1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1444</Words>
  <Characters>8360</Characters>
  <Application>Microsoft Office Word</Application>
  <DocSecurity>0</DocSecurity>
  <Lines>190</Lines>
  <Paragraphs>96</Paragraphs>
  <ScaleCrop>false</ScaleCrop>
  <HeadingPairs>
    <vt:vector size="2" baseType="variant">
      <vt:variant>
        <vt:lpstr>Title</vt:lpstr>
      </vt:variant>
      <vt:variant>
        <vt:i4>1</vt:i4>
      </vt:variant>
    </vt:vector>
  </HeadingPairs>
  <TitlesOfParts>
    <vt:vector size="1" baseType="lpstr">
      <vt:lpstr>Guidance Note: Scholarship</vt:lpstr>
    </vt:vector>
  </TitlesOfParts>
  <Company>Tertiary Education Quality and Standards Agency</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20221027-learning resources and educational support-GN-v3.0.docx</dc:title>
  <dc:creator>May, Raphael</dc:creator>
  <cp:keywords>[SEC=OFFICIAL]</cp:keywords>
  <cp:lastModifiedBy>Ben Schulz</cp:lastModifiedBy>
  <cp:revision>49</cp:revision>
  <cp:lastPrinted>2018-12-12T03:47:00Z</cp:lastPrinted>
  <dcterms:created xsi:type="dcterms:W3CDTF">2023-02-22T00:56:00Z</dcterms:created>
  <dcterms:modified xsi:type="dcterms:W3CDTF">2023-10-12T23:25:00Z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0x0101007D63AF37CA3B51428CD9C68A4D71EEA0</vt:lpwstr>
  </property>
  <property fmtid="{D5CDD505-2E9C-101B-9397-08002B2CF9AE}" pid="3" name="Team">
    <vt:lpwstr>45;#Comms and International|f1db5572-7306-443e-a442-d56c9f2c52d1</vt:lpwstr>
  </property>
  <property fmtid="{D5CDD505-2E9C-101B-9397-08002B2CF9AE}" pid="4" name="RecordType">
    <vt:lpwstr>3;#Guidance Note|ebf409d7-0b48-4543-bcde-c43c4066fc8c</vt:lpwstr>
  </property>
  <property fmtid="{D5CDD505-2E9C-101B-9397-08002B2CF9AE}" pid="5" name="Activity Name">
    <vt:lpwstr>2;#Projects|ea2fedc5-f041-4824-a983-f8f3eeeb6dfc</vt:lpwstr>
  </property>
  <property fmtid="{D5CDD505-2E9C-101B-9397-08002B2CF9AE}" pid="6" name="Function Name">
    <vt:lpwstr>1;#External Relations|8003538d-cbbc-40ec-a138-45260a67bcf5</vt:lpwstr>
  </property>
  <property fmtid="{D5CDD505-2E9C-101B-9397-08002B2CF9AE}" pid="7" name="_ExtendedDescription">
    <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v=2022.1;a=SHA256;h=8AA8085DA46BC46F8BAA827037E4292111BE5D273829E9F4ACF16ECBB9B9B7C8</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2023-10-12T23:21:14Z</vt:lpwstr>
  </property>
  <property fmtid="{D5CDD505-2E9C-101B-9397-08002B2CF9AE}" pid="17" name="PM_Markers">
    <vt:lpwstr/>
  </property>
  <property fmtid="{D5CDD505-2E9C-101B-9397-08002B2CF9AE}" pid="18" name="PM_InsertionValue">
    <vt:lpwstr>OFFICIAL</vt:lpwstr>
  </property>
  <property fmtid="{D5CDD505-2E9C-101B-9397-08002B2CF9AE}" pid="19" name="PM_Originator_Hash_SHA1">
    <vt:lpwstr>B89BBE919A53A50A83F22EF524D7418BD26D804D</vt:lpwstr>
  </property>
  <property fmtid="{D5CDD505-2E9C-101B-9397-08002B2CF9AE}" pid="20" name="PM_DisplayValueSecClassificationWithQualifier">
    <vt:lpwstr>OFFICIAL</vt:lpwstr>
  </property>
  <property fmtid="{D5CDD505-2E9C-101B-9397-08002B2CF9AE}" pid="21" name="PM_Originating_FileId">
    <vt:lpwstr>5B9E5A1FCEE244C9A71A069729D57AB9</vt:lpwstr>
  </property>
  <property fmtid="{D5CDD505-2E9C-101B-9397-08002B2CF9AE}" pid="22" name="PM_ProtectiveMarkingValue_Footer">
    <vt:lpwstr>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D6FF5A89CC84E6B79CBA5322614F3A8B9C4D9522E8BF124D6E6F162613CEA200</vt:lpwstr>
  </property>
  <property fmtid="{D5CDD505-2E9C-101B-9397-08002B2CF9AE}" pid="27" name="PM_OriginatorDomainName_SHA256">
    <vt:lpwstr>0C3D4C92EC8F38444BA78741E5B5836F9817C3740155E164E6696E5C1131B3E3</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2BC0F978613A3E64A9A253C6DA06FC63</vt:lpwstr>
  </property>
  <property fmtid="{D5CDD505-2E9C-101B-9397-08002B2CF9AE}" pid="31" name="PM_Hash_Salt">
    <vt:lpwstr>63B7B6BEB9212813AD35D0B04BEE152D</vt:lpwstr>
  </property>
  <property fmtid="{D5CDD505-2E9C-101B-9397-08002B2CF9AE}" pid="32" name="PM_Hash_SHA1">
    <vt:lpwstr>519ABC5F7F482F13EC60FDF5F9BB78D66A3148C0</vt:lpwstr>
  </property>
</Properties>
</file>