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76C5" w14:textId="4DC3DA02" w:rsidR="00B759C1" w:rsidRPr="00DD6587" w:rsidRDefault="00524886" w:rsidP="00C95EAF">
      <w:pPr>
        <w:pStyle w:val="Heading1"/>
        <w:spacing w:after="600"/>
        <w:rPr>
          <w:i/>
        </w:rPr>
      </w:pPr>
      <w:r w:rsidRPr="00DD6587">
        <w:t xml:space="preserve">Guidance </w:t>
      </w:r>
      <w:r w:rsidR="009E73BE" w:rsidRPr="00DD6587">
        <w:t>N</w:t>
      </w:r>
      <w:r w:rsidRPr="00DD6587">
        <w:t>ote</w:t>
      </w:r>
      <w:r w:rsidR="00B759C1" w:rsidRPr="00DD6587">
        <w:t xml:space="preserve">: </w:t>
      </w:r>
      <w:r w:rsidR="0013286C">
        <w:rPr>
          <w:i/>
        </w:rPr>
        <w:t>Course Design</w:t>
      </w:r>
    </w:p>
    <w:p w14:paraId="080CBC56" w14:textId="17A7BAB7" w:rsidR="00772E72" w:rsidRPr="00DD6587" w:rsidRDefault="00B759C1" w:rsidP="00AE1FDB">
      <w:pPr>
        <w:rPr>
          <w:rStyle w:val="SubtleEmphasis"/>
        </w:rPr>
      </w:pPr>
      <w:r w:rsidRPr="00DD6587">
        <w:rPr>
          <w:rStyle w:val="SubtleEmphasis"/>
          <w:highlight w:val="yellow"/>
        </w:rPr>
        <w:t xml:space="preserve">Version </w:t>
      </w:r>
      <w:r w:rsidR="003C0410" w:rsidRPr="00DD6587">
        <w:rPr>
          <w:rStyle w:val="SubtleEmphasis"/>
          <w:highlight w:val="yellow"/>
        </w:rPr>
        <w:t>3</w:t>
      </w:r>
      <w:r w:rsidRPr="00DD6587">
        <w:rPr>
          <w:rStyle w:val="SubtleEmphasis"/>
          <w:highlight w:val="yellow"/>
        </w:rPr>
        <w:t>.</w:t>
      </w:r>
      <w:r w:rsidR="00402296" w:rsidRPr="00DD6587">
        <w:rPr>
          <w:rStyle w:val="SubtleEmphasis"/>
          <w:highlight w:val="yellow"/>
        </w:rPr>
        <w:t>1</w:t>
      </w:r>
      <w:r w:rsidR="003C0410" w:rsidRPr="00DD6587">
        <w:rPr>
          <w:rStyle w:val="SubtleEmphasis"/>
          <w:highlight w:val="yellow"/>
        </w:rPr>
        <w:t xml:space="preserve"> </w:t>
      </w:r>
      <w:r w:rsidRPr="00DD6587">
        <w:rPr>
          <w:rStyle w:val="SubtleEmphasis"/>
          <w:highlight w:val="yellow"/>
        </w:rPr>
        <w:t>(</w:t>
      </w:r>
      <w:r w:rsidR="00ED2C0D" w:rsidRPr="00DD6587">
        <w:rPr>
          <w:rStyle w:val="SubtleEmphasis"/>
          <w:highlight w:val="yellow"/>
        </w:rPr>
        <w:t>DD MM</w:t>
      </w:r>
      <w:r w:rsidR="003C0410" w:rsidRPr="00DD6587">
        <w:rPr>
          <w:rStyle w:val="SubtleEmphasis"/>
          <w:highlight w:val="yellow"/>
        </w:rPr>
        <w:t xml:space="preserve"> 2021</w:t>
      </w:r>
      <w:r w:rsidRPr="00DD6587">
        <w:rPr>
          <w:rStyle w:val="SubtleEmphasis"/>
          <w:highlight w:val="yellow"/>
        </w:rPr>
        <w:t>)</w:t>
      </w:r>
    </w:p>
    <w:tbl>
      <w:tblPr>
        <w:tblStyle w:val="TableGrid"/>
        <w:tblW w:w="0" w:type="auto"/>
        <w:tblLook w:val="04A0" w:firstRow="1" w:lastRow="0" w:firstColumn="1" w:lastColumn="0" w:noHBand="0" w:noVBand="1"/>
      </w:tblPr>
      <w:tblGrid>
        <w:gridCol w:w="9016"/>
      </w:tblGrid>
      <w:tr w:rsidR="00C1204D" w:rsidRPr="00DD6587" w14:paraId="39677D1B" w14:textId="77777777" w:rsidTr="00FC0A4F">
        <w:trPr>
          <w:trHeight w:val="988"/>
        </w:trPr>
        <w:tc>
          <w:tcPr>
            <w:tcW w:w="9016" w:type="dxa"/>
            <w:shd w:val="clear" w:color="auto" w:fill="004D7D"/>
          </w:tcPr>
          <w:p w14:paraId="1FAC8B44" w14:textId="77777777" w:rsidR="00C1204D" w:rsidRPr="00DD6587" w:rsidRDefault="00C1204D" w:rsidP="00FC0A4F">
            <w:pPr>
              <w:rPr>
                <w:rStyle w:val="SubtleEmphasis"/>
              </w:rPr>
            </w:pPr>
            <w:r w:rsidRPr="00DD6587">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3B91C4C6" w:rsidR="00B759C1" w:rsidRPr="00DD6587" w:rsidRDefault="00B759C1" w:rsidP="00524886">
      <w:pPr>
        <w:pStyle w:val="Heading2"/>
        <w:numPr>
          <w:ilvl w:val="0"/>
          <w:numId w:val="35"/>
        </w:numPr>
      </w:pPr>
      <w:r w:rsidRPr="00DD6587">
        <w:t xml:space="preserve">What does </w:t>
      </w:r>
      <w:r w:rsidR="00033569">
        <w:t>Course Design</w:t>
      </w:r>
      <w:r w:rsidRPr="00DD6587">
        <w:t xml:space="preserve"> encompass?</w:t>
      </w:r>
    </w:p>
    <w:p w14:paraId="050EF447" w14:textId="43092A57" w:rsidR="004E4C78" w:rsidRDefault="00B759C1" w:rsidP="00EC5DD6">
      <w:r w:rsidRPr="00DD6587">
        <w:t xml:space="preserve">In the context of the </w:t>
      </w:r>
      <w:hyperlink r:id="rId11" w:history="1">
        <w:r w:rsidRPr="00205331">
          <w:rPr>
            <w:rStyle w:val="Hyperlink"/>
            <w:i/>
          </w:rPr>
          <w:t>Higher Education Standards Framework (Threshold Standards) 20</w:t>
        </w:r>
        <w:r w:rsidR="00513E63" w:rsidRPr="00205331">
          <w:rPr>
            <w:rStyle w:val="Hyperlink"/>
            <w:i/>
          </w:rPr>
          <w:t>21</w:t>
        </w:r>
      </w:hyperlink>
      <w:r w:rsidRPr="00DD6587">
        <w:rPr>
          <w:i/>
        </w:rPr>
        <w:t xml:space="preserve"> </w:t>
      </w:r>
      <w:r w:rsidRPr="00DD6587">
        <w:t>(</w:t>
      </w:r>
      <w:r w:rsidR="004F1997">
        <w:t>Threshold Standards</w:t>
      </w:r>
      <w:r w:rsidR="00D8670F">
        <w:t>)</w:t>
      </w:r>
      <w:r w:rsidR="00687B59">
        <w:t>,</w:t>
      </w:r>
      <w:r w:rsidR="00D8670F">
        <w:t xml:space="preserve"> course design </w:t>
      </w:r>
      <w:r w:rsidR="00F42599">
        <w:t>encompasses</w:t>
      </w:r>
      <w:r w:rsidR="00EE2B40">
        <w:t xml:space="preserve"> the </w:t>
      </w:r>
      <w:r w:rsidR="00F42599">
        <w:t xml:space="preserve">methodology, </w:t>
      </w:r>
      <w:r w:rsidR="000E0EE7">
        <w:t>structure</w:t>
      </w:r>
      <w:r w:rsidR="00F42599">
        <w:t xml:space="preserve"> and policies used to develop</w:t>
      </w:r>
      <w:r w:rsidR="000E0EE7">
        <w:t xml:space="preserve"> a course of study</w:t>
      </w:r>
      <w:r w:rsidR="00EE2B40">
        <w:t xml:space="preserve">. </w:t>
      </w:r>
    </w:p>
    <w:p w14:paraId="73862031" w14:textId="55189BFE" w:rsidR="004F71F5" w:rsidRDefault="00FD5531" w:rsidP="004F71F5">
      <w:r>
        <w:t>The</w:t>
      </w:r>
      <w:r w:rsidR="004E4C78">
        <w:t xml:space="preserve"> primary obligations around course design are found in </w:t>
      </w:r>
      <w:r w:rsidR="00FB2A6C">
        <w:t>S</w:t>
      </w:r>
      <w:r w:rsidR="004E4C78">
        <w:t>ection 3.1 of the</w:t>
      </w:r>
      <w:r>
        <w:t xml:space="preserve"> </w:t>
      </w:r>
      <w:r w:rsidR="00352260">
        <w:t>Threshold Standards</w:t>
      </w:r>
      <w:r w:rsidR="00220FB0">
        <w:t xml:space="preserve">. </w:t>
      </w:r>
      <w:r w:rsidR="00F42599">
        <w:t>O</w:t>
      </w:r>
      <w:r w:rsidR="00220FB0">
        <w:t>ther</w:t>
      </w:r>
      <w:r w:rsidR="004F71F5">
        <w:t xml:space="preserve"> </w:t>
      </w:r>
      <w:r w:rsidR="00E30593">
        <w:t>s</w:t>
      </w:r>
      <w:r w:rsidR="004F71F5">
        <w:t xml:space="preserve">tandards </w:t>
      </w:r>
      <w:r w:rsidR="00220FB0">
        <w:t xml:space="preserve">relevant to course design are </w:t>
      </w:r>
      <w:r w:rsidR="004F71F5">
        <w:t xml:space="preserve">overarching </w:t>
      </w:r>
      <w:r w:rsidR="00DE0420">
        <w:t>and cover</w:t>
      </w:r>
      <w:r w:rsidR="004F71F5">
        <w:t xml:space="preserve"> several topics </w:t>
      </w:r>
      <w:r w:rsidR="00220FB0">
        <w:t xml:space="preserve">included </w:t>
      </w:r>
      <w:r w:rsidR="004F71F5">
        <w:t xml:space="preserve">in other guidance notes. These </w:t>
      </w:r>
      <w:r w:rsidR="00220FB0">
        <w:t>are</w:t>
      </w:r>
      <w:r w:rsidR="004F71F5">
        <w:t xml:space="preserve">: </w:t>
      </w:r>
    </w:p>
    <w:p w14:paraId="7B8DE425" w14:textId="59D541EB" w:rsidR="004F71F5" w:rsidRDefault="004F71F5" w:rsidP="004F71F5">
      <w:pPr>
        <w:pStyle w:val="Bullet1"/>
      </w:pPr>
      <w:r>
        <w:t>learning outcomes and assessment (</w:t>
      </w:r>
      <w:r w:rsidR="005A6326">
        <w:t>S</w:t>
      </w:r>
      <w:r>
        <w:t xml:space="preserve">ection 1.4) </w:t>
      </w:r>
      <w:r w:rsidR="009A75CC">
        <w:t>[</w:t>
      </w:r>
      <w:r w:rsidR="003C0490" w:rsidRPr="007F39AB">
        <w:rPr>
          <w:highlight w:val="yellow"/>
        </w:rPr>
        <w:t>hyperlink forthcoming</w:t>
      </w:r>
      <w:r w:rsidR="009A75CC">
        <w:t>]</w:t>
      </w:r>
    </w:p>
    <w:p w14:paraId="0D765276" w14:textId="3383BA43" w:rsidR="004F71F5" w:rsidRDefault="004F71F5" w:rsidP="004F71F5">
      <w:pPr>
        <w:pStyle w:val="Bullet1"/>
      </w:pPr>
      <w:r>
        <w:t>staffing (</w:t>
      </w:r>
      <w:r w:rsidR="005A6326">
        <w:t>S</w:t>
      </w:r>
      <w:r>
        <w:t xml:space="preserve">ection 3.2) </w:t>
      </w:r>
      <w:r w:rsidR="009A75CC">
        <w:t>[</w:t>
      </w:r>
      <w:r w:rsidR="009A75CC" w:rsidRPr="007F39AB">
        <w:rPr>
          <w:highlight w:val="yellow"/>
        </w:rPr>
        <w:t>hyperlink forthcoming</w:t>
      </w:r>
      <w:r w:rsidR="009A75CC">
        <w:t>]</w:t>
      </w:r>
    </w:p>
    <w:p w14:paraId="7AF38FE6" w14:textId="4494BA6D" w:rsidR="00687B59" w:rsidRDefault="004F71F5" w:rsidP="004A41D8">
      <w:pPr>
        <w:pStyle w:val="Bullet1"/>
      </w:pPr>
      <w:r>
        <w:t>learning resources and educational support (</w:t>
      </w:r>
      <w:r w:rsidR="005A6326">
        <w:t>S</w:t>
      </w:r>
      <w:r>
        <w:t>ection</w:t>
      </w:r>
      <w:r w:rsidR="00220FB0">
        <w:t xml:space="preserve"> </w:t>
      </w:r>
      <w:r>
        <w:t xml:space="preserve">3.3) </w:t>
      </w:r>
      <w:r w:rsidR="009A75CC">
        <w:t>[</w:t>
      </w:r>
      <w:r w:rsidR="009A75CC" w:rsidRPr="007F39AB">
        <w:rPr>
          <w:highlight w:val="yellow"/>
        </w:rPr>
        <w:t>hyperlink forthcoming</w:t>
      </w:r>
      <w:r w:rsidR="009A75CC">
        <w:t>]</w:t>
      </w:r>
    </w:p>
    <w:p w14:paraId="7FE19384" w14:textId="3A763BCE" w:rsidR="004C7025" w:rsidRDefault="005F7BCD" w:rsidP="004A41D8">
      <w:pPr>
        <w:pStyle w:val="Bullet1"/>
      </w:pPr>
      <w:r>
        <w:t>If warranted</w:t>
      </w:r>
      <w:r w:rsidR="00BB532F">
        <w:t xml:space="preserve"> by the course level</w:t>
      </w:r>
      <w:r>
        <w:t xml:space="preserve">, appropriate regard for research and </w:t>
      </w:r>
      <w:r w:rsidR="00BB532F">
        <w:t>research training (</w:t>
      </w:r>
      <w:r w:rsidR="005A6326">
        <w:t>S</w:t>
      </w:r>
      <w:r w:rsidR="00BB532F">
        <w:t>ection 4.2)</w:t>
      </w:r>
      <w:r w:rsidR="00923EF5">
        <w:t xml:space="preserve"> </w:t>
      </w:r>
      <w:r w:rsidR="009A75CC">
        <w:t>[</w:t>
      </w:r>
      <w:r w:rsidR="009A75CC" w:rsidRPr="007F39AB">
        <w:rPr>
          <w:highlight w:val="yellow"/>
        </w:rPr>
        <w:t>hyperlink forthcoming</w:t>
      </w:r>
      <w:r w:rsidR="009A75CC">
        <w:t>]</w:t>
      </w:r>
    </w:p>
    <w:p w14:paraId="58082509" w14:textId="0FECB66D" w:rsidR="00220FB0" w:rsidRDefault="00687B59" w:rsidP="004A41D8">
      <w:pPr>
        <w:pStyle w:val="Bullet1"/>
      </w:pPr>
      <w:r>
        <w:t>course approval and accreditation (</w:t>
      </w:r>
      <w:r w:rsidR="005A6326">
        <w:t>S</w:t>
      </w:r>
      <w:r>
        <w:t>ection 5.1)</w:t>
      </w:r>
      <w:r w:rsidR="009A75CC">
        <w:t xml:space="preserve">. </w:t>
      </w:r>
      <w:r w:rsidR="009A75CC">
        <w:t>[</w:t>
      </w:r>
      <w:r w:rsidR="009A75CC" w:rsidRPr="007F39AB">
        <w:rPr>
          <w:highlight w:val="yellow"/>
        </w:rPr>
        <w:t>hyperlink forthcoming</w:t>
      </w:r>
      <w:r w:rsidR="009A75CC">
        <w:t>]</w:t>
      </w:r>
    </w:p>
    <w:p w14:paraId="22B94FDB" w14:textId="0A8FE5AC" w:rsidR="00017DB0" w:rsidRDefault="009973AC" w:rsidP="00FD4B09">
      <w:r>
        <w:t xml:space="preserve">The </w:t>
      </w:r>
      <w:r w:rsidR="00FD4B09">
        <w:t xml:space="preserve">overall intent of the course design standards is to identify what is required in the design of a course of study that leads to a higher education qualification. </w:t>
      </w:r>
    </w:p>
    <w:p w14:paraId="19AF55F6" w14:textId="17085852" w:rsidR="00D5238A" w:rsidRDefault="00D5238A" w:rsidP="00D5238A">
      <w:pPr>
        <w:pStyle w:val="Heading3"/>
      </w:pPr>
      <w:r>
        <w:t>Features of Course Design</w:t>
      </w:r>
    </w:p>
    <w:p w14:paraId="122C41A0" w14:textId="621C960C" w:rsidR="00D5238A" w:rsidRDefault="00D5238A" w:rsidP="00D5238A">
      <w:r>
        <w:t xml:space="preserve">Section 3.1.1 </w:t>
      </w:r>
      <w:r w:rsidR="00AD227D">
        <w:t xml:space="preserve">of the </w:t>
      </w:r>
      <w:r w:rsidR="002B6FC1">
        <w:t>Threshold Standards</w:t>
      </w:r>
      <w:r w:rsidR="00AD227D">
        <w:t xml:space="preserve"> </w:t>
      </w:r>
      <w:r>
        <w:t xml:space="preserve">provides </w:t>
      </w:r>
      <w:r w:rsidR="00CD7E6E">
        <w:t>guidance on the</w:t>
      </w:r>
      <w:r>
        <w:t xml:space="preserve"> key features of course design. These features include</w:t>
      </w:r>
      <w:r w:rsidR="005312F5">
        <w:t xml:space="preserve"> the</w:t>
      </w:r>
      <w:r>
        <w:t xml:space="preserve">: </w:t>
      </w:r>
    </w:p>
    <w:p w14:paraId="46DE48BA" w14:textId="739F5076" w:rsidR="00D5238A" w:rsidRDefault="00D5238A" w:rsidP="00D5238A">
      <w:pPr>
        <w:pStyle w:val="Bullet1"/>
      </w:pPr>
      <w:r>
        <w:t>qualification awarded at completion</w:t>
      </w:r>
    </w:p>
    <w:p w14:paraId="5898EAD9" w14:textId="77777777" w:rsidR="00D5238A" w:rsidRDefault="00D5238A" w:rsidP="00D5238A">
      <w:pPr>
        <w:pStyle w:val="Bullet1"/>
      </w:pPr>
      <w:r>
        <w:t>structure, duration, and modes of delivery</w:t>
      </w:r>
    </w:p>
    <w:p w14:paraId="7D767A85" w14:textId="1877252A" w:rsidR="00D5238A" w:rsidRDefault="00D5238A" w:rsidP="00D5238A">
      <w:pPr>
        <w:pStyle w:val="Bullet1"/>
      </w:pPr>
      <w:r>
        <w:t>units of study</w:t>
      </w:r>
    </w:p>
    <w:p w14:paraId="45472B8A" w14:textId="77777777" w:rsidR="00D5238A" w:rsidRDefault="00D5238A" w:rsidP="00D5238A">
      <w:pPr>
        <w:pStyle w:val="Bullet1"/>
      </w:pPr>
      <w:r>
        <w:t>entry requirements and pathways</w:t>
      </w:r>
    </w:p>
    <w:p w14:paraId="565E2446" w14:textId="77777777" w:rsidR="00D5238A" w:rsidRDefault="00D5238A" w:rsidP="00D5238A">
      <w:pPr>
        <w:pStyle w:val="Bullet1"/>
      </w:pPr>
      <w:r>
        <w:t>learning outcomes, assessment, and student workload</w:t>
      </w:r>
    </w:p>
    <w:p w14:paraId="74A274C8" w14:textId="6D5D1441" w:rsidR="00D5238A" w:rsidRDefault="001E7BCF" w:rsidP="00D5238A">
      <w:pPr>
        <w:pStyle w:val="Bullet1"/>
      </w:pPr>
      <w:r>
        <w:t xml:space="preserve">compulsory </w:t>
      </w:r>
      <w:r w:rsidR="00D5238A">
        <w:t xml:space="preserve">completion requirements </w:t>
      </w:r>
    </w:p>
    <w:p w14:paraId="363108D2" w14:textId="286F6F6A" w:rsidR="00D5238A" w:rsidRDefault="00D5238A" w:rsidP="00D5238A">
      <w:pPr>
        <w:pStyle w:val="Bullet1"/>
      </w:pPr>
      <w:r>
        <w:t>learning pathways (e.g. further learning and exit pathways)</w:t>
      </w:r>
    </w:p>
    <w:p w14:paraId="5611EFBA" w14:textId="7E5F939A" w:rsidR="0023279E" w:rsidRDefault="0023279E" w:rsidP="00D5238A">
      <w:pPr>
        <w:pStyle w:val="Bullet1"/>
      </w:pPr>
      <w:r>
        <w:t>proportion and nature of research</w:t>
      </w:r>
      <w:r w:rsidR="005312F5">
        <w:t xml:space="preserve"> or </w:t>
      </w:r>
      <w:r>
        <w:t>research</w:t>
      </w:r>
      <w:r w:rsidR="00687B59">
        <w:t>-</w:t>
      </w:r>
      <w:r>
        <w:t>related study (</w:t>
      </w:r>
      <w:r w:rsidR="00A71D6B">
        <w:t xml:space="preserve">for </w:t>
      </w:r>
      <w:r w:rsidR="00201563">
        <w:t>Bachelor H</w:t>
      </w:r>
      <w:r>
        <w:t xml:space="preserve">onours, </w:t>
      </w:r>
      <w:r w:rsidR="00DA077B">
        <w:t>Masters,</w:t>
      </w:r>
      <w:r>
        <w:t xml:space="preserve"> and </w:t>
      </w:r>
      <w:r w:rsidR="00201563">
        <w:t>D</w:t>
      </w:r>
      <w:r>
        <w:t xml:space="preserve">octoral qualifications). </w:t>
      </w:r>
    </w:p>
    <w:p w14:paraId="0ED108B8" w14:textId="6C109B77" w:rsidR="000F0FF2" w:rsidRDefault="00CD7E6E" w:rsidP="00CD7E6E">
      <w:r>
        <w:t>While the list of features is not exhaustive</w:t>
      </w:r>
      <w:r w:rsidR="00DC0F96">
        <w:t>,</w:t>
      </w:r>
      <w:r>
        <w:t xml:space="preserve"> </w:t>
      </w:r>
      <w:r w:rsidR="00DC0F96">
        <w:t>t</w:t>
      </w:r>
      <w:r>
        <w:t xml:space="preserve">he </w:t>
      </w:r>
      <w:r w:rsidR="00182476">
        <w:t>Threshold Standards</w:t>
      </w:r>
      <w:r>
        <w:t xml:space="preserve"> </w:t>
      </w:r>
      <w:r w:rsidR="002157C3">
        <w:t xml:space="preserve">explains </w:t>
      </w:r>
      <w:r>
        <w:t>course design</w:t>
      </w:r>
      <w:r w:rsidR="008D70F2">
        <w:t xml:space="preserve"> must be of sufficient detail</w:t>
      </w:r>
      <w:r w:rsidR="00923EF5">
        <w:t xml:space="preserve"> for</w:t>
      </w:r>
      <w:r w:rsidR="000F0FF2">
        <w:t>:</w:t>
      </w:r>
    </w:p>
    <w:p w14:paraId="67A2E4ED" w14:textId="796AD1CB" w:rsidR="000F0FF2" w:rsidRDefault="00923EF5" w:rsidP="00140A28">
      <w:pPr>
        <w:pStyle w:val="Bullet1"/>
      </w:pPr>
      <w:r>
        <w:t>a</w:t>
      </w:r>
      <w:r w:rsidR="00E475D6">
        <w:t>n</w:t>
      </w:r>
      <w:r>
        <w:t xml:space="preserve"> expert in the field to undertake an </w:t>
      </w:r>
      <w:r w:rsidR="00E475D6">
        <w:t>initial</w:t>
      </w:r>
      <w:r>
        <w:t xml:space="preserve"> assessment of the </w:t>
      </w:r>
      <w:r w:rsidR="00E475D6">
        <w:t>course</w:t>
      </w:r>
      <w:r w:rsidR="005312F5">
        <w:t>’</w:t>
      </w:r>
      <w:r w:rsidR="00E475D6">
        <w:t xml:space="preserve">s </w:t>
      </w:r>
      <w:r>
        <w:t>scope and nature</w:t>
      </w:r>
      <w:r w:rsidR="00E475D6">
        <w:t xml:space="preserve"> </w:t>
      </w:r>
    </w:p>
    <w:p w14:paraId="7D78DB99" w14:textId="77777777" w:rsidR="000F0FF2" w:rsidRDefault="00E475D6" w:rsidP="00140A28">
      <w:pPr>
        <w:pStyle w:val="Bullet1"/>
      </w:pPr>
      <w:r>
        <w:lastRenderedPageBreak/>
        <w:t>a prospective student to make an informed choice about the course</w:t>
      </w:r>
      <w:r w:rsidR="005109DC">
        <w:t xml:space="preserve">. </w:t>
      </w:r>
    </w:p>
    <w:p w14:paraId="34C86671" w14:textId="7B2CDB1C" w:rsidR="000A0CB8" w:rsidRDefault="005109DC" w:rsidP="000F0FF2">
      <w:r>
        <w:t>This applies</w:t>
      </w:r>
      <w:r w:rsidR="008D70F2">
        <w:t xml:space="preserve"> whether</w:t>
      </w:r>
      <w:r w:rsidR="005312F5">
        <w:t xml:space="preserve"> the course design</w:t>
      </w:r>
      <w:r>
        <w:t xml:space="preserve"> is</w:t>
      </w:r>
      <w:r w:rsidR="008D70F2">
        <w:t xml:space="preserve"> </w:t>
      </w:r>
      <w:r w:rsidR="00CD7E6E">
        <w:t>prepared for accreditation</w:t>
      </w:r>
      <w:r w:rsidR="00B51EEF">
        <w:t xml:space="preserve"> by TEQSA</w:t>
      </w:r>
      <w:r w:rsidR="008D70F2">
        <w:t>, or</w:t>
      </w:r>
      <w:r w:rsidR="00FD6737">
        <w:t xml:space="preserve"> for </w:t>
      </w:r>
      <w:r w:rsidR="00E30410">
        <w:t xml:space="preserve">internal approval at providers with self-accrediting authority. </w:t>
      </w:r>
      <w:r w:rsidR="00DC0F96">
        <w:t xml:space="preserve"> </w:t>
      </w:r>
    </w:p>
    <w:p w14:paraId="68E7B6F9" w14:textId="780CED01" w:rsidR="00CD7E6E" w:rsidRDefault="002157C3" w:rsidP="00CD7E6E">
      <w:r>
        <w:t>Having sufficient</w:t>
      </w:r>
      <w:r w:rsidR="000A0CB8">
        <w:t xml:space="preserve"> detail</w:t>
      </w:r>
      <w:r>
        <w:t xml:space="preserve"> about course design</w:t>
      </w:r>
      <w:r w:rsidR="000A0CB8">
        <w:t xml:space="preserve"> is important</w:t>
      </w:r>
      <w:r>
        <w:t xml:space="preserve"> in demonstrating compliance with the </w:t>
      </w:r>
      <w:r w:rsidR="00171082">
        <w:t>Threshold Standards</w:t>
      </w:r>
      <w:r w:rsidR="00352260">
        <w:t>.</w:t>
      </w:r>
      <w:r>
        <w:t xml:space="preserve"> This is because TEQSA</w:t>
      </w:r>
      <w:r w:rsidR="00687B59">
        <w:t>,</w:t>
      </w:r>
      <w:r>
        <w:t xml:space="preserve"> and any subject matter experts it may rely on, will need this information to</w:t>
      </w:r>
      <w:r w:rsidR="00DC0F96">
        <w:t xml:space="preserve"> be satisfied the</w:t>
      </w:r>
      <w:r>
        <w:t xml:space="preserve"> </w:t>
      </w:r>
      <w:r w:rsidR="00DC0F96">
        <w:t>quality</w:t>
      </w:r>
      <w:r w:rsidR="002512D9">
        <w:t xml:space="preserve">, </w:t>
      </w:r>
      <w:r w:rsidR="00D4122A">
        <w:t>content</w:t>
      </w:r>
      <w:r w:rsidR="001E06B7">
        <w:t xml:space="preserve"> and scope</w:t>
      </w:r>
      <w:r>
        <w:t xml:space="preserve"> of the course are compliant</w:t>
      </w:r>
      <w:r w:rsidR="00DC0F96">
        <w:t xml:space="preserve">. </w:t>
      </w:r>
    </w:p>
    <w:p w14:paraId="3EEE6422" w14:textId="3E47CFF4" w:rsidR="00543BAD" w:rsidRDefault="002157C3" w:rsidP="00B76C27">
      <w:r>
        <w:t>Sufficient detail about c</w:t>
      </w:r>
      <w:r w:rsidR="00B76C27">
        <w:t xml:space="preserve">ourse design </w:t>
      </w:r>
      <w:r>
        <w:t xml:space="preserve">is </w:t>
      </w:r>
      <w:r w:rsidR="00220FB0">
        <w:t>also</w:t>
      </w:r>
      <w:r w:rsidR="004C3277">
        <w:t xml:space="preserve"> </w:t>
      </w:r>
      <w:r>
        <w:t>required to allow</w:t>
      </w:r>
      <w:r w:rsidR="00B76C27">
        <w:t xml:space="preserve"> prospective student</w:t>
      </w:r>
      <w:r>
        <w:t>s</w:t>
      </w:r>
      <w:r w:rsidR="00B76C27">
        <w:t xml:space="preserve"> to make an informed choice about the course</w:t>
      </w:r>
      <w:r w:rsidR="005312F5">
        <w:t>. This is</w:t>
      </w:r>
      <w:r w:rsidR="009062B6">
        <w:t xml:space="preserve"> required </w:t>
      </w:r>
      <w:r w:rsidR="00315F8F">
        <w:t xml:space="preserve">under sections 1.1 </w:t>
      </w:r>
      <w:r w:rsidR="000F0FF2">
        <w:t xml:space="preserve">(Admissions) </w:t>
      </w:r>
      <w:r w:rsidR="00315F8F">
        <w:t>and 7.2</w:t>
      </w:r>
      <w:r w:rsidR="000F0FF2">
        <w:t xml:space="preserve"> (Information for Prospective and Current Students)</w:t>
      </w:r>
      <w:r w:rsidR="00B76C27">
        <w:t xml:space="preserve">. </w:t>
      </w:r>
      <w:r>
        <w:t xml:space="preserve">The details available should allow </w:t>
      </w:r>
      <w:r w:rsidR="004A2BDE">
        <w:t xml:space="preserve">prospective students </w:t>
      </w:r>
      <w:r>
        <w:t>to</w:t>
      </w:r>
      <w:r w:rsidR="004C3277">
        <w:t xml:space="preserve"> form a view on the quality of the course against comparable offerings from different providers. </w:t>
      </w:r>
    </w:p>
    <w:p w14:paraId="6996F1AA" w14:textId="77777777" w:rsidR="00013DBD" w:rsidRDefault="00013DBD" w:rsidP="00013DBD">
      <w:pPr>
        <w:pStyle w:val="Heading3"/>
      </w:pPr>
      <w:r>
        <w:t>Components of a Qualification</w:t>
      </w:r>
    </w:p>
    <w:p w14:paraId="1ABB2BC2" w14:textId="6EA6897F" w:rsidR="007920C2" w:rsidRDefault="005312F5" w:rsidP="00B76C27">
      <w:r>
        <w:t xml:space="preserve">The requirements for </w:t>
      </w:r>
      <w:r w:rsidR="00013DBD">
        <w:t xml:space="preserve">course design </w:t>
      </w:r>
      <w:r>
        <w:t xml:space="preserve">included </w:t>
      </w:r>
      <w:r w:rsidR="00013DBD">
        <w:t>in the Threshold Standards</w:t>
      </w:r>
      <w:r>
        <w:t xml:space="preserve"> are </w:t>
      </w:r>
      <w:r w:rsidR="007920C2">
        <w:t>added to by</w:t>
      </w:r>
      <w:r w:rsidR="00013DBD">
        <w:t xml:space="preserve"> </w:t>
      </w:r>
      <w:r>
        <w:t>t</w:t>
      </w:r>
      <w:r w:rsidR="00013DBD">
        <w:t>he Australian Qualifications Framework</w:t>
      </w:r>
      <w:r>
        <w:t xml:space="preserve"> (AQF). </w:t>
      </w:r>
    </w:p>
    <w:p w14:paraId="0CDA9710" w14:textId="570D4FD6" w:rsidR="00443168" w:rsidRDefault="005312F5" w:rsidP="00B76C27">
      <w:r>
        <w:t>The AQF</w:t>
      </w:r>
      <w:r w:rsidR="00013DBD">
        <w:t xml:space="preserve"> </w:t>
      </w:r>
      <w:r w:rsidR="00833CA3">
        <w:t>explains</w:t>
      </w:r>
      <w:r w:rsidR="00443168">
        <w:t xml:space="preserve"> what </w:t>
      </w:r>
      <w:r w:rsidR="00833CA3">
        <w:t>learning outcomes</w:t>
      </w:r>
      <w:r w:rsidR="00443168">
        <w:t xml:space="preserve"> and volume</w:t>
      </w:r>
      <w:r w:rsidR="00833CA3">
        <w:t>s</w:t>
      </w:r>
      <w:r w:rsidR="00443168">
        <w:t xml:space="preserve"> of learning </w:t>
      </w:r>
      <w:r w:rsidR="00833CA3">
        <w:t>must be met to</w:t>
      </w:r>
      <w:r w:rsidR="00443168">
        <w:t xml:space="preserve"> achieve different levels of </w:t>
      </w:r>
      <w:r w:rsidR="00833CA3">
        <w:t xml:space="preserve">AQF </w:t>
      </w:r>
      <w:r w:rsidR="00443168">
        <w:t xml:space="preserve">qualification (e.g., Bachelor’s, Master’s etc.). </w:t>
      </w:r>
    </w:p>
    <w:p w14:paraId="174425D4" w14:textId="67C95A50" w:rsidR="007920C2" w:rsidRDefault="00833CA3" w:rsidP="00B76C27">
      <w:r>
        <w:t>In accordance with the AQF</w:t>
      </w:r>
      <w:r w:rsidR="00F428FA">
        <w:t>,</w:t>
      </w:r>
      <w:r>
        <w:t xml:space="preserve"> a</w:t>
      </w:r>
      <w:r w:rsidR="007920C2">
        <w:t xml:space="preserve"> proportion of the </w:t>
      </w:r>
      <w:r w:rsidR="00A9383E">
        <w:t>components</w:t>
      </w:r>
      <w:r w:rsidR="007920C2">
        <w:t xml:space="preserve"> of a course of study</w:t>
      </w:r>
      <w:r w:rsidR="00B413CE">
        <w:t xml:space="preserve"> should enable students to </w:t>
      </w:r>
      <w:r w:rsidR="0098750C">
        <w:t>achieve learning outcomes by developing</w:t>
      </w:r>
      <w:r w:rsidR="00B413CE">
        <w:t xml:space="preserve"> their</w:t>
      </w:r>
      <w:r w:rsidR="007920C2">
        <w:t>:</w:t>
      </w:r>
    </w:p>
    <w:p w14:paraId="04E1BCA6" w14:textId="362D8DDA" w:rsidR="007920C2" w:rsidRDefault="00B413CE" w:rsidP="00140A28">
      <w:pPr>
        <w:pStyle w:val="Bullet1"/>
      </w:pPr>
      <w:r>
        <w:t xml:space="preserve">understanding of the discipline </w:t>
      </w:r>
    </w:p>
    <w:p w14:paraId="650C9306" w14:textId="523AF6B3" w:rsidR="007920C2" w:rsidRDefault="00B413CE" w:rsidP="00140A28">
      <w:pPr>
        <w:pStyle w:val="Bullet1"/>
      </w:pPr>
      <w:r>
        <w:t>knowledge</w:t>
      </w:r>
    </w:p>
    <w:p w14:paraId="6920BDA2" w14:textId="381AD1D5" w:rsidR="007920C2" w:rsidRDefault="00B413CE" w:rsidP="00140A28">
      <w:pPr>
        <w:pStyle w:val="Bullet1"/>
      </w:pPr>
      <w:r>
        <w:t>skills (including their application)</w:t>
      </w:r>
      <w:r w:rsidR="0098750C">
        <w:t>.</w:t>
      </w:r>
    </w:p>
    <w:p w14:paraId="6599BB69" w14:textId="5BD80E31" w:rsidR="00833CA3" w:rsidRDefault="00833CA3" w:rsidP="007920C2">
      <w:r>
        <w:t xml:space="preserve">Under the AQF, ‘components’ is defined to include modules, subjects, units of competency or units of completion, which lead to an AQF qualification. </w:t>
      </w:r>
    </w:p>
    <w:p w14:paraId="442DF56E" w14:textId="42527619" w:rsidR="00443168" w:rsidRDefault="00A9383E" w:rsidP="00B76C27">
      <w:r>
        <w:t>The AQF does not specify the proportion of components a</w:t>
      </w:r>
      <w:r w:rsidR="00B413CE">
        <w:t xml:space="preserve"> provider should include in the design of the course.</w:t>
      </w:r>
      <w:r w:rsidR="007920C2">
        <w:t xml:space="preserve"> </w:t>
      </w:r>
      <w:r w:rsidR="00443168">
        <w:t>However, i</w:t>
      </w:r>
      <w:r w:rsidR="007920C2">
        <w:t>n</w:t>
      </w:r>
      <w:r w:rsidR="00443168">
        <w:t xml:space="preserve"> designing a course</w:t>
      </w:r>
      <w:r w:rsidR="007920C2">
        <w:t>,</w:t>
      </w:r>
      <w:r w:rsidR="00B413CE">
        <w:t xml:space="preserve"> a diligent provider</w:t>
      </w:r>
      <w:r w:rsidR="007920C2">
        <w:t xml:space="preserve">, </w:t>
      </w:r>
      <w:r w:rsidR="00443168">
        <w:t>will</w:t>
      </w:r>
      <w:r w:rsidR="007920C2">
        <w:t xml:space="preserve"> </w:t>
      </w:r>
      <w:r w:rsidR="00E55413">
        <w:t>consider</w:t>
      </w:r>
      <w:r w:rsidR="00443168">
        <w:t xml:space="preserve"> how the proportion of components it includes</w:t>
      </w:r>
      <w:r w:rsidR="00B413CE">
        <w:t xml:space="preserve"> </w:t>
      </w:r>
      <w:r w:rsidR="00443168">
        <w:t>will affect the:</w:t>
      </w:r>
    </w:p>
    <w:p w14:paraId="423024D2" w14:textId="4A0C6DF4" w:rsidR="00443168" w:rsidRDefault="00B413CE" w:rsidP="00443168">
      <w:pPr>
        <w:pStyle w:val="Bullet1"/>
      </w:pPr>
      <w:r>
        <w:t>likelihood of</w:t>
      </w:r>
      <w:r w:rsidR="00443168">
        <w:t xml:space="preserve"> a student</w:t>
      </w:r>
      <w:r>
        <w:t xml:space="preserve"> successfully attaining </w:t>
      </w:r>
      <w:r w:rsidR="00443168">
        <w:t>an AQF</w:t>
      </w:r>
      <w:r>
        <w:t xml:space="preserve"> qualification</w:t>
      </w:r>
    </w:p>
    <w:p w14:paraId="62CC94A8" w14:textId="4CB83656" w:rsidR="00A9383E" w:rsidRDefault="00B413CE" w:rsidP="00140A28">
      <w:pPr>
        <w:pStyle w:val="Bullet1"/>
      </w:pPr>
      <w:r>
        <w:t xml:space="preserve">integrity of the </w:t>
      </w:r>
      <w:r w:rsidR="000C18DA">
        <w:t>qualification</w:t>
      </w:r>
      <w:r w:rsidR="00443168">
        <w:t>.</w:t>
      </w:r>
    </w:p>
    <w:p w14:paraId="1F9116F5" w14:textId="46565AB4" w:rsidR="00543BAD" w:rsidRDefault="00433D0C" w:rsidP="00543BAD">
      <w:pPr>
        <w:pStyle w:val="Heading3"/>
      </w:pPr>
      <w:r>
        <w:t>Designing a program</w:t>
      </w:r>
      <w:r w:rsidR="00A71D6B">
        <w:t xml:space="preserve"> </w:t>
      </w:r>
      <w:r>
        <w:t xml:space="preserve">with multiple points of entry and exit at different AQF levels </w:t>
      </w:r>
      <w:r w:rsidR="00A71D6B">
        <w:t>(nested courses)</w:t>
      </w:r>
    </w:p>
    <w:p w14:paraId="639A3FE4" w14:textId="361C2AAB" w:rsidR="002577FB" w:rsidRDefault="00433D0C" w:rsidP="002577FB">
      <w:r>
        <w:t>Through course design, p</w:t>
      </w:r>
      <w:r w:rsidR="00A71D6B">
        <w:t>roviders may</w:t>
      </w:r>
      <w:r>
        <w:t xml:space="preserve"> develop and</w:t>
      </w:r>
      <w:r w:rsidR="00A71D6B">
        <w:t xml:space="preserve"> offer </w:t>
      </w:r>
      <w:r>
        <w:t xml:space="preserve">a </w:t>
      </w:r>
      <w:r w:rsidR="006A4448">
        <w:t xml:space="preserve">course </w:t>
      </w:r>
      <w:r w:rsidR="00A71D6B">
        <w:t xml:space="preserve">with </w:t>
      </w:r>
      <w:r>
        <w:t>multiple points of entry and exit at</w:t>
      </w:r>
      <w:r w:rsidR="00A71D6B">
        <w:t xml:space="preserve"> different </w:t>
      </w:r>
      <w:r>
        <w:t>AQF</w:t>
      </w:r>
      <w:r w:rsidR="00013DBD">
        <w:t xml:space="preserve"> </w:t>
      </w:r>
      <w:r w:rsidR="00A71D6B">
        <w:t>levels</w:t>
      </w:r>
      <w:r>
        <w:t xml:space="preserve">. </w:t>
      </w:r>
      <w:r w:rsidR="00BF460D">
        <w:t>These courses</w:t>
      </w:r>
      <w:r w:rsidR="006A4448">
        <w:t xml:space="preserve"> </w:t>
      </w:r>
      <w:r>
        <w:t xml:space="preserve">are made up of multiple </w:t>
      </w:r>
      <w:r w:rsidR="006A4448">
        <w:t xml:space="preserve">shorter </w:t>
      </w:r>
      <w:r w:rsidR="004A2BDE">
        <w:t xml:space="preserve">courses </w:t>
      </w:r>
      <w:r w:rsidR="00687B59">
        <w:t xml:space="preserve">in the same area of study </w:t>
      </w:r>
      <w:r w:rsidR="00BF460D">
        <w:t>being</w:t>
      </w:r>
      <w:r>
        <w:t xml:space="preserve"> delivered sequentially. </w:t>
      </w:r>
      <w:r w:rsidR="004A2BDE">
        <w:t xml:space="preserve">This type of </w:t>
      </w:r>
      <w:r w:rsidR="00DB6172">
        <w:t>shorter qualification</w:t>
      </w:r>
      <w:r w:rsidR="004A2BDE">
        <w:t xml:space="preserve"> is</w:t>
      </w:r>
      <w:r w:rsidR="00DB6172">
        <w:t xml:space="preserve"> often referred to as</w:t>
      </w:r>
      <w:r w:rsidR="004A2BDE">
        <w:t xml:space="preserve"> a</w:t>
      </w:r>
      <w:r w:rsidR="00DB6172">
        <w:t xml:space="preserve"> </w:t>
      </w:r>
      <w:r w:rsidR="00A71D6B">
        <w:t xml:space="preserve">‘nested </w:t>
      </w:r>
      <w:r w:rsidR="00BF460D">
        <w:t>course</w:t>
      </w:r>
      <w:r w:rsidR="004A2BDE">
        <w:t>’</w:t>
      </w:r>
      <w:r w:rsidR="00A71D6B">
        <w:t xml:space="preserve">. </w:t>
      </w:r>
      <w:r>
        <w:t xml:space="preserve"> </w:t>
      </w:r>
      <w:r w:rsidR="004540D7">
        <w:t xml:space="preserve"> </w:t>
      </w:r>
    </w:p>
    <w:p w14:paraId="5FD18772" w14:textId="77777777" w:rsidR="00024A08" w:rsidRDefault="00433D0C" w:rsidP="002577FB">
      <w:r>
        <w:t>In a</w:t>
      </w:r>
      <w:r w:rsidR="00483985">
        <w:t xml:space="preserve"> </w:t>
      </w:r>
      <w:r w:rsidR="00DB6172">
        <w:t xml:space="preserve">course </w:t>
      </w:r>
      <w:r w:rsidR="00483985">
        <w:t>with</w:t>
      </w:r>
      <w:r>
        <w:t xml:space="preserve"> nested course</w:t>
      </w:r>
      <w:r w:rsidR="00483985">
        <w:t>s</w:t>
      </w:r>
      <w:r>
        <w:t>, t</w:t>
      </w:r>
      <w:r w:rsidR="00485DA4">
        <w:t>he level of the qualification</w:t>
      </w:r>
      <w:r>
        <w:t xml:space="preserve"> awarded to a student</w:t>
      </w:r>
      <w:r w:rsidR="00485DA4">
        <w:t xml:space="preserve"> is </w:t>
      </w:r>
      <w:r>
        <w:t>based on their</w:t>
      </w:r>
      <w:r w:rsidR="00267F4E">
        <w:t xml:space="preserve"> </w:t>
      </w:r>
      <w:r>
        <w:t xml:space="preserve">completion of </w:t>
      </w:r>
      <w:r w:rsidR="00267F4E">
        <w:t>a subset of the total program</w:t>
      </w:r>
      <w:r w:rsidR="00084151">
        <w:t xml:space="preserve">. </w:t>
      </w:r>
      <w:r>
        <w:t xml:space="preserve">In designing nested </w:t>
      </w:r>
      <w:r w:rsidR="00BF460D">
        <w:t>courses,</w:t>
      </w:r>
      <w:r>
        <w:t xml:space="preserve"> a provider is </w:t>
      </w:r>
      <w:r w:rsidR="005802AC">
        <w:t xml:space="preserve">expected to </w:t>
      </w:r>
      <w:r>
        <w:t>ensure</w:t>
      </w:r>
      <w:r w:rsidR="00024A08">
        <w:t>:</w:t>
      </w:r>
    </w:p>
    <w:p w14:paraId="0F5BB6BC" w14:textId="025DA710" w:rsidR="00024A08" w:rsidRDefault="00433D0C" w:rsidP="00024A08">
      <w:pPr>
        <w:pStyle w:val="Bullet1"/>
      </w:pPr>
      <w:r>
        <w:t xml:space="preserve">there </w:t>
      </w:r>
      <w:r w:rsidR="00024A08">
        <w:t xml:space="preserve">are coherent learning outcomes for each level and qualification type </w:t>
      </w:r>
    </w:p>
    <w:p w14:paraId="440950BA" w14:textId="74D9DCB6" w:rsidR="00024A08" w:rsidRDefault="00024A08" w:rsidP="00024A08">
      <w:pPr>
        <w:pStyle w:val="Bullet1"/>
      </w:pPr>
      <w:r>
        <w:t>each course enables graduates to demonstrate the learning outcomes required</w:t>
      </w:r>
    </w:p>
    <w:p w14:paraId="121A7B3C" w14:textId="6B9EBEC4" w:rsidR="00E8322A" w:rsidRPr="005802AC" w:rsidRDefault="00643E41" w:rsidP="00140A28">
      <w:pPr>
        <w:pStyle w:val="Bullet1"/>
      </w:pPr>
      <w:r>
        <w:lastRenderedPageBreak/>
        <w:t>the learning outcomes of each nested course flow logically and adequately</w:t>
      </w:r>
      <w:r w:rsidR="00024A08">
        <w:t xml:space="preserve"> to</w:t>
      </w:r>
      <w:r>
        <w:t xml:space="preserve"> prepare students for study at the higher level</w:t>
      </w:r>
      <w:r w:rsidR="00084151">
        <w:t xml:space="preserve"> (see Figure 1).</w:t>
      </w:r>
      <w:r w:rsidR="005802AC">
        <w:t xml:space="preserve"> </w:t>
      </w:r>
    </w:p>
    <w:p w14:paraId="1C6AB58A" w14:textId="28A6985A" w:rsidR="00177956" w:rsidRDefault="002241CE" w:rsidP="00177956">
      <w:pPr>
        <w:pStyle w:val="FigureTitle"/>
      </w:pPr>
      <w:r>
        <w:t>A representation of undergraduate and postgraduate nested course of study</w:t>
      </w:r>
    </w:p>
    <w:p w14:paraId="08C0FC12" w14:textId="61E081F8" w:rsidR="00C54755" w:rsidRDefault="0031485B" w:rsidP="002577FB">
      <w:r>
        <w:rPr>
          <w:noProof/>
          <w:sz w:val="24"/>
          <w:szCs w:val="24"/>
          <w:lang w:eastAsia="en-AU"/>
        </w:rPr>
        <w:drawing>
          <wp:anchor distT="0" distB="0" distL="114300" distR="114300" simplePos="0" relativeHeight="251659264" behindDoc="0" locked="0" layoutInCell="1" allowOverlap="1" wp14:anchorId="0E165C28" wp14:editId="2BD84253">
            <wp:simplePos x="0" y="0"/>
            <wp:positionH relativeFrom="margin">
              <wp:align>left</wp:align>
            </wp:positionH>
            <wp:positionV relativeFrom="paragraph">
              <wp:posOffset>19685</wp:posOffset>
            </wp:positionV>
            <wp:extent cx="2790825" cy="2166620"/>
            <wp:effectExtent l="0" t="0" r="9525" b="5080"/>
            <wp:wrapSquare wrapText="bothSides"/>
            <wp:docPr id="2" name="Picture 2" descr="Figure 1 displays two boxes, one is labelled 'Undergraduate', the other 'Postgraduate'. Within the Undergraduate box are three labels: 'HE Diploma' is nested within 'Assoc Deg' which is nested within 'Bachelor'. Within the Postgraduate box are three labels: 'Grad Cert' is nested within 'Grad Dip' which is nested within 'Ma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166620"/>
                    </a:xfrm>
                    <a:prstGeom prst="rect">
                      <a:avLst/>
                    </a:prstGeom>
                    <a:noFill/>
                  </pic:spPr>
                </pic:pic>
              </a:graphicData>
            </a:graphic>
            <wp14:sizeRelH relativeFrom="margin">
              <wp14:pctWidth>0</wp14:pctWidth>
            </wp14:sizeRelH>
            <wp14:sizeRelV relativeFrom="margin">
              <wp14:pctHeight>0</wp14:pctHeight>
            </wp14:sizeRelV>
          </wp:anchor>
        </w:drawing>
      </w:r>
      <w:r w:rsidR="00C54755">
        <w:t>In th</w:t>
      </w:r>
      <w:r w:rsidR="00DB528B">
        <w:t>is</w:t>
      </w:r>
      <w:r w:rsidR="00C54755">
        <w:t xml:space="preserve"> example</w:t>
      </w:r>
      <w:r w:rsidR="00AA3346">
        <w:t>,</w:t>
      </w:r>
      <w:r w:rsidR="00C54755">
        <w:t xml:space="preserve"> students who complete a lower-level course successfully wi</w:t>
      </w:r>
      <w:r w:rsidR="00535FCD">
        <w:t>ll</w:t>
      </w:r>
      <w:r w:rsidR="00C54755">
        <w:t xml:space="preserve"> typically be granted credit towards admission into a higher-level course</w:t>
      </w:r>
      <w:r w:rsidR="00535FCD">
        <w:t xml:space="preserve">. A student can then choose to proceed further with their education and exit at a higher-level course. </w:t>
      </w:r>
    </w:p>
    <w:p w14:paraId="1BF83ADE" w14:textId="65EE50FE" w:rsidR="00177956" w:rsidRDefault="00535FCD" w:rsidP="002577FB">
      <w:r>
        <w:t xml:space="preserve">Students who are directly enrolled in </w:t>
      </w:r>
      <w:r w:rsidR="00EB0563">
        <w:t>a</w:t>
      </w:r>
      <w:r>
        <w:t xml:space="preserve"> </w:t>
      </w:r>
      <w:r w:rsidR="000934AE">
        <w:t>higher-level</w:t>
      </w:r>
      <w:r>
        <w:t xml:space="preserve"> course are </w:t>
      </w:r>
      <w:r w:rsidR="000934AE">
        <w:t xml:space="preserve">not normally granted credit for completion at each level. </w:t>
      </w:r>
      <w:r w:rsidR="0031485B">
        <w:t>Students are t</w:t>
      </w:r>
      <w:r w:rsidR="001264AD">
        <w:t>ypically</w:t>
      </w:r>
      <w:r w:rsidR="000934AE">
        <w:t xml:space="preserve"> expected to complete the entire </w:t>
      </w:r>
      <w:r w:rsidR="0065683E">
        <w:t xml:space="preserve">course </w:t>
      </w:r>
      <w:r w:rsidR="000934AE">
        <w:t xml:space="preserve">of </w:t>
      </w:r>
      <w:r w:rsidR="008903F9">
        <w:t>study unless</w:t>
      </w:r>
      <w:r w:rsidR="000934AE">
        <w:t xml:space="preserve"> </w:t>
      </w:r>
      <w:r w:rsidR="00A72F35">
        <w:t xml:space="preserve">they </w:t>
      </w:r>
      <w:r w:rsidR="0065683E">
        <w:t>choose</w:t>
      </w:r>
      <w:r w:rsidR="00A72F35">
        <w:t xml:space="preserve"> to exit at a lower </w:t>
      </w:r>
      <w:r w:rsidR="00C81362">
        <w:t>AQF level.</w:t>
      </w:r>
    </w:p>
    <w:p w14:paraId="5A74D253" w14:textId="77BAC86A" w:rsidR="009F5594" w:rsidRDefault="009F5594" w:rsidP="002577FB"/>
    <w:p w14:paraId="608553FC" w14:textId="686CEF32" w:rsidR="00B759C1" w:rsidRPr="00DD6587" w:rsidRDefault="00B759C1" w:rsidP="00524886">
      <w:pPr>
        <w:pStyle w:val="Heading2"/>
        <w:numPr>
          <w:ilvl w:val="0"/>
          <w:numId w:val="35"/>
        </w:numPr>
      </w:pPr>
      <w:r w:rsidRPr="00DD6587">
        <w:t>What TEQSA will look for</w:t>
      </w:r>
    </w:p>
    <w:p w14:paraId="27892DD9" w14:textId="317EE4AA" w:rsidR="00EC5DD6" w:rsidRPr="00DD6587" w:rsidRDefault="00B759C1" w:rsidP="00B759C1">
      <w:r w:rsidRPr="00DD6587">
        <w:t xml:space="preserve">The </w:t>
      </w:r>
      <w:r w:rsidR="00352260">
        <w:t>Threshold Standards</w:t>
      </w:r>
      <w:r w:rsidRPr="00DD6587">
        <w:t xml:space="preserve"> require</w:t>
      </w:r>
      <w:r w:rsidR="00E218A3" w:rsidRPr="00DD6587">
        <w:t>s</w:t>
      </w:r>
      <w:r w:rsidRPr="00DD6587">
        <w:t xml:space="preserve"> TEQSA to consider</w:t>
      </w:r>
      <w:r w:rsidR="00CE7015">
        <w:t xml:space="preserve"> the following aspects of a provider’s </w:t>
      </w:r>
      <w:r w:rsidR="00EF7B13">
        <w:t>c</w:t>
      </w:r>
      <w:r w:rsidR="00CE7015">
        <w:t xml:space="preserve">ourse </w:t>
      </w:r>
      <w:r w:rsidR="00EF7B13">
        <w:t>d</w:t>
      </w:r>
      <w:r w:rsidR="00CE7015">
        <w:t xml:space="preserve">esign. </w:t>
      </w:r>
    </w:p>
    <w:p w14:paraId="1AF740B3" w14:textId="77777777" w:rsidR="00524886" w:rsidRPr="00DD6587" w:rsidRDefault="00524886" w:rsidP="00B759C1">
      <w:pPr>
        <w:rPr>
          <w:sz w:val="12"/>
          <w:szCs w:val="12"/>
          <w:highlight w:val="cyan"/>
        </w:rPr>
      </w:pPr>
    </w:p>
    <w:tbl>
      <w:tblPr>
        <w:tblStyle w:val="TableGrid"/>
        <w:tblW w:w="9067" w:type="dxa"/>
        <w:tblLook w:val="04A0" w:firstRow="1" w:lastRow="0" w:firstColumn="1" w:lastColumn="0" w:noHBand="0" w:noVBand="1"/>
      </w:tblPr>
      <w:tblGrid>
        <w:gridCol w:w="3964"/>
        <w:gridCol w:w="5103"/>
      </w:tblGrid>
      <w:tr w:rsidR="009D3138" w:rsidRPr="00DD6587" w14:paraId="0F6549F4" w14:textId="77777777" w:rsidTr="007C4501">
        <w:tc>
          <w:tcPr>
            <w:tcW w:w="3964" w:type="dxa"/>
            <w:shd w:val="clear" w:color="auto" w:fill="D9D9D9" w:themeFill="background1" w:themeFillShade="D9"/>
          </w:tcPr>
          <w:p w14:paraId="0C6B9A98" w14:textId="232DC6EA" w:rsidR="009D3138" w:rsidRPr="00DD6587" w:rsidRDefault="002866BA" w:rsidP="00B759C1">
            <w:pPr>
              <w:rPr>
                <w:b/>
                <w:bCs/>
              </w:rPr>
            </w:pPr>
            <w:r w:rsidRPr="00DD6587">
              <w:rPr>
                <w:b/>
                <w:bCs/>
              </w:rPr>
              <w:t xml:space="preserve">Part A: </w:t>
            </w:r>
            <w:r w:rsidR="009D3138" w:rsidRPr="00DD6587">
              <w:rPr>
                <w:b/>
                <w:bCs/>
              </w:rPr>
              <w:t>Standards for HE Providers</w:t>
            </w:r>
          </w:p>
        </w:tc>
        <w:tc>
          <w:tcPr>
            <w:tcW w:w="5103" w:type="dxa"/>
            <w:shd w:val="clear" w:color="auto" w:fill="D9D9D9" w:themeFill="background1" w:themeFillShade="D9"/>
          </w:tcPr>
          <w:p w14:paraId="17167564" w14:textId="0639ED17" w:rsidR="009D3138" w:rsidRPr="00DD6587" w:rsidRDefault="00733596" w:rsidP="00B759C1">
            <w:pPr>
              <w:rPr>
                <w:b/>
                <w:bCs/>
              </w:rPr>
            </w:pPr>
            <w:r w:rsidRPr="00DD6587">
              <w:rPr>
                <w:b/>
                <w:bCs/>
              </w:rPr>
              <w:t>Ke</w:t>
            </w:r>
            <w:r w:rsidR="001561CC" w:rsidRPr="00DD6587">
              <w:rPr>
                <w:b/>
                <w:bCs/>
              </w:rPr>
              <w:t>y considerations</w:t>
            </w:r>
          </w:p>
        </w:tc>
      </w:tr>
      <w:tr w:rsidR="008352DD" w:rsidRPr="00DD6587" w14:paraId="49475E76" w14:textId="77777777" w:rsidTr="007C4501">
        <w:tc>
          <w:tcPr>
            <w:tcW w:w="3964" w:type="dxa"/>
          </w:tcPr>
          <w:p w14:paraId="6FA9130C" w14:textId="37EA08CB" w:rsidR="008352DD" w:rsidRDefault="005A148C" w:rsidP="00B759C1">
            <w:r>
              <w:t>1.1.1</w:t>
            </w:r>
            <w:r w:rsidR="005D0815">
              <w:t>:</w:t>
            </w:r>
            <w:r>
              <w:t xml:space="preserve"> Admissio</w:t>
            </w:r>
            <w:r w:rsidR="00E626C9">
              <w:t>n</w:t>
            </w:r>
          </w:p>
        </w:tc>
        <w:tc>
          <w:tcPr>
            <w:tcW w:w="5103" w:type="dxa"/>
          </w:tcPr>
          <w:p w14:paraId="444C96F0" w14:textId="6BCEBD11" w:rsidR="008352DD" w:rsidRDefault="00A82FFC" w:rsidP="007C4501">
            <w:pPr>
              <w:pStyle w:val="ListParagraph"/>
              <w:numPr>
                <w:ilvl w:val="0"/>
                <w:numId w:val="34"/>
              </w:numPr>
            </w:pPr>
            <w:r>
              <w:t xml:space="preserve">Information about policies and arrangements for recognised prior learning are made available to prospective students. </w:t>
            </w:r>
          </w:p>
        </w:tc>
      </w:tr>
      <w:tr w:rsidR="009D3138" w:rsidRPr="00DD6587" w14:paraId="58DCDC15" w14:textId="77777777" w:rsidTr="007C4501">
        <w:tc>
          <w:tcPr>
            <w:tcW w:w="3964" w:type="dxa"/>
          </w:tcPr>
          <w:p w14:paraId="2D2877E2" w14:textId="28602C03" w:rsidR="009D3138" w:rsidRPr="00DD6587" w:rsidRDefault="00931CA4" w:rsidP="00B759C1">
            <w:r>
              <w:t>3.1.1 – 3.1.5</w:t>
            </w:r>
            <w:r w:rsidR="005D0815">
              <w:t>:</w:t>
            </w:r>
            <w:r>
              <w:t xml:space="preserve"> Course Design</w:t>
            </w:r>
          </w:p>
        </w:tc>
        <w:tc>
          <w:tcPr>
            <w:tcW w:w="5103" w:type="dxa"/>
          </w:tcPr>
          <w:p w14:paraId="457062D8" w14:textId="7063F6C9" w:rsidR="009D3138" w:rsidRDefault="00EA5E0B" w:rsidP="007C4501">
            <w:pPr>
              <w:pStyle w:val="ListParagraph"/>
              <w:numPr>
                <w:ilvl w:val="0"/>
                <w:numId w:val="34"/>
              </w:numPr>
            </w:pPr>
            <w:r>
              <w:t>detailed information about course design</w:t>
            </w:r>
            <w:r w:rsidR="001812E2">
              <w:t xml:space="preserve"> </w:t>
            </w:r>
            <w:r w:rsidR="00EC57AF">
              <w:t xml:space="preserve">is available for </w:t>
            </w:r>
            <w:r w:rsidR="001812E2">
              <w:t>accreditation</w:t>
            </w:r>
          </w:p>
          <w:p w14:paraId="404EE9BE" w14:textId="77777777" w:rsidR="00EA5E0B" w:rsidRDefault="00EA5E0B" w:rsidP="007C4501">
            <w:pPr>
              <w:pStyle w:val="ListParagraph"/>
              <w:numPr>
                <w:ilvl w:val="0"/>
                <w:numId w:val="34"/>
              </w:numPr>
            </w:pPr>
            <w:r>
              <w:t>course design includes information on how learning outcomes are assessed</w:t>
            </w:r>
          </w:p>
          <w:p w14:paraId="70FE294B" w14:textId="346ABD70" w:rsidR="00EA5E0B" w:rsidRDefault="00687B59" w:rsidP="007C4501">
            <w:pPr>
              <w:pStyle w:val="ListParagraph"/>
              <w:numPr>
                <w:ilvl w:val="0"/>
                <w:numId w:val="34"/>
              </w:numPr>
            </w:pPr>
            <w:r>
              <w:t xml:space="preserve">content, </w:t>
            </w:r>
            <w:r w:rsidR="00EA5E0B">
              <w:t>teaching and learning activities are presented in a logical manner and aligned with</w:t>
            </w:r>
            <w:r w:rsidR="00EC57AF">
              <w:t xml:space="preserve"> relevant</w:t>
            </w:r>
            <w:r w:rsidR="00EA5E0B">
              <w:t xml:space="preserve"> learning outcomes</w:t>
            </w:r>
          </w:p>
          <w:p w14:paraId="048BDAF8" w14:textId="7DF23A70" w:rsidR="00EA5E0B" w:rsidRPr="00DD6587" w:rsidRDefault="00EA5E0B" w:rsidP="007C4501">
            <w:pPr>
              <w:pStyle w:val="ListParagraph"/>
              <w:numPr>
                <w:ilvl w:val="0"/>
                <w:numId w:val="34"/>
              </w:numPr>
            </w:pPr>
            <w:r>
              <w:t xml:space="preserve">if professional accreditation is relevant, course design </w:t>
            </w:r>
            <w:r w:rsidR="009C63DC">
              <w:t>factors in</w:t>
            </w:r>
            <w:r w:rsidR="005665BF">
              <w:t xml:space="preserve"> how professional accreditation for the course will be maintained</w:t>
            </w:r>
            <w:r w:rsidR="002B0A45">
              <w:t>.</w:t>
            </w:r>
          </w:p>
        </w:tc>
      </w:tr>
      <w:tr w:rsidR="00DA165B" w:rsidRPr="00DD6587" w14:paraId="750C9E84" w14:textId="77777777" w:rsidTr="007C4501">
        <w:tc>
          <w:tcPr>
            <w:tcW w:w="3964" w:type="dxa"/>
          </w:tcPr>
          <w:p w14:paraId="7A8F30EE" w14:textId="0C8547E2" w:rsidR="00DA165B" w:rsidRDefault="00DA165B" w:rsidP="00B759C1">
            <w:r>
              <w:t>3.2.1 and 3.2</w:t>
            </w:r>
            <w:r w:rsidR="00745B64">
              <w:t>.</w:t>
            </w:r>
            <w:r>
              <w:t>2</w:t>
            </w:r>
            <w:r w:rsidR="005D0815">
              <w:t>:</w:t>
            </w:r>
            <w:r>
              <w:t xml:space="preserve"> Staffing</w:t>
            </w:r>
          </w:p>
        </w:tc>
        <w:tc>
          <w:tcPr>
            <w:tcW w:w="5103" w:type="dxa"/>
          </w:tcPr>
          <w:p w14:paraId="164A115A" w14:textId="0D758BD4" w:rsidR="00DA165B" w:rsidRDefault="00EC57AF" w:rsidP="007C4501">
            <w:pPr>
              <w:pStyle w:val="ListParagraph"/>
              <w:numPr>
                <w:ilvl w:val="0"/>
                <w:numId w:val="34"/>
              </w:numPr>
            </w:pPr>
            <w:r>
              <w:t>there is</w:t>
            </w:r>
            <w:r w:rsidR="00DA165B">
              <w:t xml:space="preserve"> </w:t>
            </w:r>
            <w:r w:rsidR="008903F9">
              <w:t xml:space="preserve">enough </w:t>
            </w:r>
            <w:r w:rsidR="00DA165B">
              <w:t>staff to meet the educational, academic and administrative needs of students</w:t>
            </w:r>
          </w:p>
          <w:p w14:paraId="625514D2" w14:textId="13AB6CDD" w:rsidR="00DA165B" w:rsidRDefault="00DA165B" w:rsidP="007C4501">
            <w:pPr>
              <w:pStyle w:val="ListParagraph"/>
              <w:numPr>
                <w:ilvl w:val="0"/>
                <w:numId w:val="34"/>
              </w:numPr>
            </w:pPr>
            <w:r>
              <w:t xml:space="preserve">the </w:t>
            </w:r>
            <w:r w:rsidR="003F53AD">
              <w:t>staff for</w:t>
            </w:r>
            <w:r>
              <w:t xml:space="preserve"> each course of study provide the necessary oversight</w:t>
            </w:r>
            <w:r w:rsidR="000C6678">
              <w:t>, knowledge</w:t>
            </w:r>
            <w:r>
              <w:t xml:space="preserve"> and teaching capacity to </w:t>
            </w:r>
            <w:r w:rsidR="004C0C25">
              <w:t>appropriately lead and assess students.</w:t>
            </w:r>
          </w:p>
        </w:tc>
      </w:tr>
      <w:tr w:rsidR="00931CA4" w:rsidRPr="00DD6587" w14:paraId="056745B2" w14:textId="77777777" w:rsidTr="007C4501">
        <w:tc>
          <w:tcPr>
            <w:tcW w:w="3964" w:type="dxa"/>
          </w:tcPr>
          <w:p w14:paraId="10483824" w14:textId="702365F1" w:rsidR="00931CA4" w:rsidRPr="00DD6587" w:rsidRDefault="00DA165B" w:rsidP="00B759C1">
            <w:r>
              <w:t xml:space="preserve">3.3.1 and </w:t>
            </w:r>
            <w:r w:rsidR="00EA5E0B">
              <w:t>3.3.4</w:t>
            </w:r>
            <w:r w:rsidR="005D0815">
              <w:t>:</w:t>
            </w:r>
            <w:r w:rsidR="00EA5E0B">
              <w:t xml:space="preserve"> Learning Resources and Educational Support</w:t>
            </w:r>
          </w:p>
        </w:tc>
        <w:tc>
          <w:tcPr>
            <w:tcW w:w="5103" w:type="dxa"/>
          </w:tcPr>
          <w:p w14:paraId="18A4014E" w14:textId="4376DF1F" w:rsidR="00DA165B" w:rsidRDefault="00DA165B" w:rsidP="007C4501">
            <w:pPr>
              <w:pStyle w:val="ListParagraph"/>
              <w:numPr>
                <w:ilvl w:val="0"/>
                <w:numId w:val="34"/>
              </w:numPr>
            </w:pPr>
            <w:r>
              <w:t xml:space="preserve">learning resources are up to date and </w:t>
            </w:r>
            <w:r w:rsidR="0012466C">
              <w:t>accessible</w:t>
            </w:r>
          </w:p>
          <w:p w14:paraId="3D9E8529" w14:textId="44BC4238" w:rsidR="00931CA4" w:rsidRPr="00DD6587" w:rsidRDefault="00DA165B" w:rsidP="007C4501">
            <w:pPr>
              <w:pStyle w:val="ListParagraph"/>
              <w:numPr>
                <w:ilvl w:val="0"/>
                <w:numId w:val="34"/>
              </w:numPr>
            </w:pPr>
            <w:r>
              <w:t>students have access to learning support services</w:t>
            </w:r>
            <w:r w:rsidR="00AD0C68">
              <w:t>,</w:t>
            </w:r>
            <w:r>
              <w:t xml:space="preserve"> consistent with their course of stud</w:t>
            </w:r>
            <w:r w:rsidR="00D90AC1">
              <w:t>y.</w:t>
            </w:r>
          </w:p>
        </w:tc>
      </w:tr>
      <w:tr w:rsidR="00913295" w:rsidRPr="00DD6587" w14:paraId="112275E9" w14:textId="77777777" w:rsidTr="007C4501">
        <w:tc>
          <w:tcPr>
            <w:tcW w:w="3964" w:type="dxa"/>
          </w:tcPr>
          <w:p w14:paraId="749316E6" w14:textId="190ABB46" w:rsidR="00913295" w:rsidRDefault="006F47EA" w:rsidP="00B759C1">
            <w:r>
              <w:t>5.1</w:t>
            </w:r>
            <w:r w:rsidR="00B44923">
              <w:t>.1</w:t>
            </w:r>
            <w:r>
              <w:t xml:space="preserve"> </w:t>
            </w:r>
            <w:r w:rsidR="00B44923">
              <w:t>and 5.1.3</w:t>
            </w:r>
            <w:r w:rsidR="005D0815">
              <w:t>:</w:t>
            </w:r>
            <w:r w:rsidR="00B44923">
              <w:t xml:space="preserve"> </w:t>
            </w:r>
            <w:r>
              <w:t xml:space="preserve">Course Approval and </w:t>
            </w:r>
            <w:r w:rsidR="00B44923">
              <w:t>Accreditation</w:t>
            </w:r>
          </w:p>
        </w:tc>
        <w:tc>
          <w:tcPr>
            <w:tcW w:w="5103" w:type="dxa"/>
          </w:tcPr>
          <w:p w14:paraId="2BAAA416" w14:textId="5980181E" w:rsidR="00913295" w:rsidRDefault="00EA791B" w:rsidP="007C4501">
            <w:pPr>
              <w:pStyle w:val="ListParagraph"/>
              <w:numPr>
                <w:ilvl w:val="0"/>
                <w:numId w:val="34"/>
              </w:numPr>
            </w:pPr>
            <w:r>
              <w:t xml:space="preserve">internally </w:t>
            </w:r>
            <w:r w:rsidR="0091057A">
              <w:t>there are</w:t>
            </w:r>
            <w:r>
              <w:t xml:space="preserve"> robust processes</w:t>
            </w:r>
            <w:r w:rsidR="0091057A">
              <w:t xml:space="preserve"> for </w:t>
            </w:r>
            <w:r>
              <w:t>deciding whether to approve</w:t>
            </w:r>
            <w:r w:rsidR="0091057A">
              <w:t xml:space="preserve"> delive</w:t>
            </w:r>
            <w:r>
              <w:t xml:space="preserve">ry of </w:t>
            </w:r>
            <w:r w:rsidR="0091057A">
              <w:t>a course of study</w:t>
            </w:r>
          </w:p>
          <w:p w14:paraId="49E27EAC" w14:textId="2C888444" w:rsidR="00EA791B" w:rsidRDefault="0091057A" w:rsidP="00EA791B">
            <w:pPr>
              <w:pStyle w:val="ListParagraph"/>
              <w:numPr>
                <w:ilvl w:val="0"/>
                <w:numId w:val="34"/>
              </w:numPr>
            </w:pPr>
            <w:r>
              <w:lastRenderedPageBreak/>
              <w:t xml:space="preserve">a course of study is approved or accredited only when it meets the </w:t>
            </w:r>
            <w:r w:rsidR="00AE28ED">
              <w:t>Threshold Standards</w:t>
            </w:r>
            <w:r>
              <w:t>, independent academic scrutiny has taken place</w:t>
            </w:r>
            <w:r w:rsidR="00EA791B">
              <w:t xml:space="preserve"> and resources required for delivery of the course are available.</w:t>
            </w:r>
          </w:p>
        </w:tc>
      </w:tr>
      <w:tr w:rsidR="00E90C6F" w:rsidRPr="00DD6587" w14:paraId="33E9E106" w14:textId="77777777" w:rsidTr="007C4501">
        <w:tc>
          <w:tcPr>
            <w:tcW w:w="3964" w:type="dxa"/>
          </w:tcPr>
          <w:p w14:paraId="362EF85E" w14:textId="78AB4A65" w:rsidR="00E90C6F" w:rsidRDefault="00E90C6F" w:rsidP="00B759C1">
            <w:r>
              <w:lastRenderedPageBreak/>
              <w:t xml:space="preserve">7.2: Information for Prospective and Current Students </w:t>
            </w:r>
          </w:p>
        </w:tc>
        <w:tc>
          <w:tcPr>
            <w:tcW w:w="5103" w:type="dxa"/>
          </w:tcPr>
          <w:p w14:paraId="42FB0B36" w14:textId="63F5F157" w:rsidR="00E90C6F" w:rsidRDefault="00A82FFC" w:rsidP="007C4501">
            <w:pPr>
              <w:pStyle w:val="ListParagraph"/>
              <w:numPr>
                <w:ilvl w:val="0"/>
                <w:numId w:val="34"/>
              </w:numPr>
            </w:pPr>
            <w:r>
              <w:t>information about courses is available, to allow a prospective student to make an informed decision about them.</w:t>
            </w:r>
          </w:p>
        </w:tc>
      </w:tr>
    </w:tbl>
    <w:p w14:paraId="11962617" w14:textId="41E18D07" w:rsidR="00F469C0" w:rsidRPr="00DD6587" w:rsidRDefault="005B5392" w:rsidP="00524886">
      <w:pPr>
        <w:pStyle w:val="Heading2"/>
        <w:numPr>
          <w:ilvl w:val="0"/>
          <w:numId w:val="35"/>
        </w:numPr>
      </w:pPr>
      <w:r w:rsidRPr="00DD6587">
        <w:t>Identified issues</w:t>
      </w:r>
    </w:p>
    <w:p w14:paraId="3A22D5C6" w14:textId="0B019D35" w:rsidR="004D2C3F" w:rsidRPr="00DD6587" w:rsidRDefault="004D2C3F" w:rsidP="00EC5DD6">
      <w:pPr>
        <w:pStyle w:val="BulletsL2"/>
        <w:numPr>
          <w:ilvl w:val="0"/>
          <w:numId w:val="0"/>
        </w:numPr>
        <w:rPr>
          <w:lang w:val="en-AU"/>
        </w:rPr>
      </w:pPr>
      <w:r w:rsidRPr="00DD6587">
        <w:rPr>
          <w:lang w:val="en-AU"/>
        </w:rPr>
        <w:t xml:space="preserve">Within the context of the </w:t>
      </w:r>
      <w:r w:rsidR="00817F9A">
        <w:rPr>
          <w:lang w:val="en-AU"/>
        </w:rPr>
        <w:t>Threshold Standards</w:t>
      </w:r>
      <w:r w:rsidRPr="00DD6587">
        <w:rPr>
          <w:lang w:val="en-AU"/>
        </w:rPr>
        <w:t>, TEQSA has identified a range of issues which are indicative of risks to</w:t>
      </w:r>
      <w:r w:rsidR="000C6678">
        <w:rPr>
          <w:lang w:val="en-AU"/>
        </w:rPr>
        <w:t xml:space="preserve"> compliance regarding</w:t>
      </w:r>
      <w:r w:rsidRPr="00DD6587">
        <w:rPr>
          <w:lang w:val="en-AU"/>
        </w:rPr>
        <w:t xml:space="preserve"> </w:t>
      </w:r>
      <w:r w:rsidR="006548BC">
        <w:rPr>
          <w:lang w:val="en-AU"/>
        </w:rPr>
        <w:t>course design</w:t>
      </w:r>
      <w:r w:rsidRPr="00DD6587">
        <w:rPr>
          <w:lang w:val="en-AU"/>
        </w:rPr>
        <w:t xml:space="preserve">. These include, but are not limited to: </w:t>
      </w:r>
    </w:p>
    <w:p w14:paraId="4E6F2DD1" w14:textId="7635B78C" w:rsidR="00945C71" w:rsidRPr="00C92E33" w:rsidRDefault="00945C71" w:rsidP="000C6678">
      <w:pPr>
        <w:pStyle w:val="Bullet1"/>
        <w:rPr>
          <w:rFonts w:cs="Arial"/>
          <w:iCs/>
          <w:color w:val="252B2B"/>
        </w:rPr>
      </w:pPr>
      <w:r>
        <w:t>Quality and accessibility of information</w:t>
      </w:r>
      <w:r w:rsidR="00E44DF5">
        <w:t>:</w:t>
      </w:r>
    </w:p>
    <w:p w14:paraId="063287A4" w14:textId="64E16EC9" w:rsidR="00C92E33" w:rsidRPr="00E55413" w:rsidRDefault="00C92E33" w:rsidP="00CD0D81">
      <w:pPr>
        <w:pStyle w:val="Bullet2"/>
        <w:rPr>
          <w:rFonts w:cs="Arial"/>
          <w:iCs/>
          <w:color w:val="252B2B"/>
        </w:rPr>
      </w:pPr>
      <w:r w:rsidRPr="009C068E">
        <w:t>learning outcomes</w:t>
      </w:r>
      <w:r w:rsidR="00945C71">
        <w:t xml:space="preserve"> are poorly defined or </w:t>
      </w:r>
      <w:r w:rsidR="0090478F">
        <w:t>in</w:t>
      </w:r>
      <w:r w:rsidR="00AD0C68">
        <w:t>consistent with the AQF</w:t>
      </w:r>
    </w:p>
    <w:p w14:paraId="3763F5C1" w14:textId="4C57673F" w:rsidR="001027A7" w:rsidRPr="00CD0D81" w:rsidRDefault="001027A7" w:rsidP="00CD0D81">
      <w:pPr>
        <w:pStyle w:val="Bullet2"/>
        <w:rPr>
          <w:rFonts w:cs="Arial"/>
          <w:iCs/>
          <w:color w:val="252B2B"/>
        </w:rPr>
      </w:pPr>
      <w:r>
        <w:t>learning outcomes</w:t>
      </w:r>
      <w:r w:rsidR="000C6678">
        <w:t xml:space="preserve"> of each subject</w:t>
      </w:r>
      <w:r>
        <w:t xml:space="preserve"> are not </w:t>
      </w:r>
      <w:r w:rsidR="009E034B">
        <w:t xml:space="preserve">credibly mappable </w:t>
      </w:r>
      <w:r w:rsidR="005B60BB">
        <w:t xml:space="preserve">to the </w:t>
      </w:r>
      <w:r w:rsidR="009E034B">
        <w:t>learning outcomes</w:t>
      </w:r>
      <w:r w:rsidR="005B60BB">
        <w:t xml:space="preserve"> of the course</w:t>
      </w:r>
    </w:p>
    <w:p w14:paraId="36EF1C49" w14:textId="6791C9CC" w:rsidR="00687B59" w:rsidRDefault="00687B59" w:rsidP="00CD0D81">
      <w:pPr>
        <w:pStyle w:val="Bullet2"/>
      </w:pPr>
      <w:r>
        <w:t>modes of participation or delivery are poorly defined leading to potential disadvantage to impacted cohorts</w:t>
      </w:r>
      <w:r w:rsidR="005B60BB">
        <w:t xml:space="preserve"> of students</w:t>
      </w:r>
    </w:p>
    <w:p w14:paraId="7744EAA7" w14:textId="2831485E" w:rsidR="00945C71" w:rsidRDefault="00945C71" w:rsidP="00CD0D81">
      <w:pPr>
        <w:pStyle w:val="Bullet2"/>
      </w:pPr>
      <w:r>
        <w:t>other information about a course and its design</w:t>
      </w:r>
      <w:r w:rsidR="00687B59">
        <w:t xml:space="preserve"> is</w:t>
      </w:r>
      <w:r>
        <w:t xml:space="preserve"> not publicly available or lack</w:t>
      </w:r>
      <w:r w:rsidR="00687B59">
        <w:t>s</w:t>
      </w:r>
      <w:r>
        <w:t xml:space="preserve"> detail to be informative for prospective and current students in deciding whether to begin a particular course of study.</w:t>
      </w:r>
    </w:p>
    <w:p w14:paraId="3E3E3208" w14:textId="7BE0C5AA" w:rsidR="00F16CF6" w:rsidRDefault="00F16CF6" w:rsidP="00C92E33">
      <w:pPr>
        <w:pStyle w:val="Bullet1"/>
      </w:pPr>
      <w:r>
        <w:t>Contemporary practices/methods</w:t>
      </w:r>
    </w:p>
    <w:p w14:paraId="75E718F5" w14:textId="027A1678" w:rsidR="00F16CF6" w:rsidRDefault="00F16CF6" w:rsidP="00C12696">
      <w:pPr>
        <w:pStyle w:val="Bullet2"/>
      </w:pPr>
      <w:r w:rsidRPr="00C12696">
        <w:t>assessment methods do not reflect contemporary methods of teaching practice and theory</w:t>
      </w:r>
    </w:p>
    <w:p w14:paraId="43F25301" w14:textId="2C820FDA" w:rsidR="009E034B" w:rsidRDefault="009E034B" w:rsidP="00C12696">
      <w:pPr>
        <w:pStyle w:val="Bullet2"/>
      </w:pPr>
      <w:r>
        <w:t>assessment methods are inappropriate to discern a student’s achievement of learning outcomes</w:t>
      </w:r>
    </w:p>
    <w:p w14:paraId="13865F9F" w14:textId="32D0C151" w:rsidR="000C6678" w:rsidRDefault="000C6678" w:rsidP="000C6678">
      <w:pPr>
        <w:pStyle w:val="Bullet2"/>
      </w:pPr>
      <w:r w:rsidRPr="00C12696">
        <w:t>failure</w:t>
      </w:r>
      <w:r>
        <w:t xml:space="preserve"> by a provider</w:t>
      </w:r>
      <w:r w:rsidRPr="00C12696">
        <w:t xml:space="preserve"> to promote scholarly activity le</w:t>
      </w:r>
      <w:r>
        <w:t>a</w:t>
      </w:r>
      <w:r w:rsidRPr="00C12696">
        <w:t>d</w:t>
      </w:r>
      <w:r>
        <w:t>ing</w:t>
      </w:r>
      <w:r w:rsidRPr="00C12696">
        <w:t xml:space="preserve"> to an outdated approach to course design</w:t>
      </w:r>
      <w:r>
        <w:t>, methods of delivery or assessment</w:t>
      </w:r>
      <w:r w:rsidRPr="00C12696">
        <w:t xml:space="preserve">. </w:t>
      </w:r>
    </w:p>
    <w:p w14:paraId="42C4A5D7" w14:textId="5392B532" w:rsidR="00566665" w:rsidRDefault="00566665" w:rsidP="00C92E33">
      <w:pPr>
        <w:pStyle w:val="Bullet1"/>
      </w:pPr>
      <w:r>
        <w:t>Staff</w:t>
      </w:r>
    </w:p>
    <w:p w14:paraId="1E2805D1" w14:textId="4D9F1457" w:rsidR="00566665" w:rsidRDefault="00566665" w:rsidP="00CD0D81">
      <w:pPr>
        <w:pStyle w:val="Bullet2"/>
      </w:pPr>
      <w:r>
        <w:t>staff responsible for academic oversight lack the skills or knowledge to make sound academic judgement</w:t>
      </w:r>
      <w:r w:rsidR="009D7BF3">
        <w:t xml:space="preserve"> about course design</w:t>
      </w:r>
    </w:p>
    <w:p w14:paraId="6ADC3454" w14:textId="0E5C1C51" w:rsidR="00E0170A" w:rsidRDefault="00E0170A" w:rsidP="00234066">
      <w:pPr>
        <w:pStyle w:val="Bullet2"/>
      </w:pPr>
      <w:r>
        <w:t>insufficient diligence in selecting methods of assessment lead</w:t>
      </w:r>
      <w:r w:rsidR="005B60BB">
        <w:t>ing</w:t>
      </w:r>
      <w:r>
        <w:t xml:space="preserve"> to students not achieving learning outcomes</w:t>
      </w:r>
    </w:p>
    <w:p w14:paraId="70EB782A" w14:textId="77777777" w:rsidR="00566665" w:rsidRDefault="00566665" w:rsidP="003A1549">
      <w:pPr>
        <w:pStyle w:val="Bullet1"/>
      </w:pPr>
      <w:r>
        <w:t>Nested courses</w:t>
      </w:r>
    </w:p>
    <w:p w14:paraId="1C99E6AF" w14:textId="68D56A0E" w:rsidR="00331326" w:rsidRDefault="00EC57AF" w:rsidP="00CD0D81">
      <w:pPr>
        <w:pStyle w:val="Bullet2"/>
      </w:pPr>
      <w:r>
        <w:t>learning outcomes for each level and qualification type lack coherence, leading</w:t>
      </w:r>
      <w:r w:rsidR="00AD0C68">
        <w:t xml:space="preserve"> to</w:t>
      </w:r>
      <w:r>
        <w:t xml:space="preserve"> </w:t>
      </w:r>
      <w:r w:rsidR="00AD0C68">
        <w:t>students not demonstrating all</w:t>
      </w:r>
      <w:r w:rsidR="00FD03B6">
        <w:t xml:space="preserve"> required</w:t>
      </w:r>
      <w:r w:rsidR="00AD0C68">
        <w:t xml:space="preserve"> learning outcomes upon completion of </w:t>
      </w:r>
      <w:r>
        <w:t>the</w:t>
      </w:r>
      <w:r w:rsidR="00AD0C68">
        <w:t xml:space="preserve"> course</w:t>
      </w:r>
    </w:p>
    <w:p w14:paraId="265AA8D3" w14:textId="53D9AE74" w:rsidR="00687B59" w:rsidRDefault="00687B59" w:rsidP="00CD0D81">
      <w:pPr>
        <w:pStyle w:val="Bullet2"/>
      </w:pPr>
      <w:r>
        <w:t>misalignment of areas of study or incorrect credit arrangements whereby students do not receive credit for units successfully completed in the lower-level course/s</w:t>
      </w:r>
      <w:r w:rsidR="00E55413">
        <w:t xml:space="preserve"> or students receive too much credit for recognised prior learning</w:t>
      </w:r>
    </w:p>
    <w:p w14:paraId="74CAF94F" w14:textId="7FE0292C" w:rsidR="00CE6EC2" w:rsidRPr="00C3076E" w:rsidRDefault="00CE6EC2" w:rsidP="00CD0D81">
      <w:pPr>
        <w:pStyle w:val="Bullet2"/>
      </w:pPr>
      <w:r>
        <w:t xml:space="preserve">not providing enough information to show courses in a nested course arrangement have </w:t>
      </w:r>
      <w:r w:rsidR="00454E57">
        <w:t>received the appropriate approvals or oversight</w:t>
      </w:r>
      <w:r w:rsidR="004540D7">
        <w:t xml:space="preserve">. </w:t>
      </w:r>
    </w:p>
    <w:p w14:paraId="21762E60" w14:textId="1359C603" w:rsidR="00EC5DD6" w:rsidRPr="00DD6587" w:rsidRDefault="00A25716" w:rsidP="00A25716">
      <w:pPr>
        <w:pStyle w:val="Heading2"/>
      </w:pPr>
      <w:r>
        <w:lastRenderedPageBreak/>
        <w:t>Related Resources</w:t>
      </w:r>
    </w:p>
    <w:p w14:paraId="3516158D" w14:textId="5297E526" w:rsidR="00372114" w:rsidRDefault="00B26FB9" w:rsidP="00372114">
      <w:pPr>
        <w:pStyle w:val="Bullet1"/>
      </w:pPr>
      <w:r>
        <w:t xml:space="preserve">Guidance note: </w:t>
      </w:r>
      <w:r w:rsidR="00372114">
        <w:t>Learning Outcomes and Assessment</w:t>
      </w:r>
      <w:r w:rsidR="008F69F3">
        <w:t xml:space="preserve"> (under development)</w:t>
      </w:r>
      <w:r w:rsidR="009A75CC">
        <w:t xml:space="preserve"> </w:t>
      </w:r>
      <w:r w:rsidR="009A75CC">
        <w:t>[</w:t>
      </w:r>
      <w:r w:rsidR="009A75CC" w:rsidRPr="007F39AB">
        <w:rPr>
          <w:highlight w:val="yellow"/>
        </w:rPr>
        <w:t>hyperlink forthcoming</w:t>
      </w:r>
      <w:r w:rsidR="009A75CC">
        <w:t>]</w:t>
      </w:r>
    </w:p>
    <w:p w14:paraId="2B458E5A" w14:textId="0A0AC421" w:rsidR="00372114" w:rsidRDefault="008F69F3" w:rsidP="008F69F3">
      <w:pPr>
        <w:pStyle w:val="Bullet1"/>
      </w:pPr>
      <w:r>
        <w:t xml:space="preserve">Guidance note: </w:t>
      </w:r>
      <w:r w:rsidR="00372114">
        <w:t xml:space="preserve">Staffing </w:t>
      </w:r>
      <w:r>
        <w:t>(under development)</w:t>
      </w:r>
      <w:r w:rsidR="009A75CC">
        <w:t xml:space="preserve"> </w:t>
      </w:r>
      <w:r w:rsidR="009A75CC">
        <w:t>[</w:t>
      </w:r>
      <w:r w:rsidR="009A75CC" w:rsidRPr="007F39AB">
        <w:rPr>
          <w:highlight w:val="yellow"/>
        </w:rPr>
        <w:t>hyperlink forthcoming</w:t>
      </w:r>
      <w:r w:rsidR="009A75CC">
        <w:t>]</w:t>
      </w:r>
    </w:p>
    <w:p w14:paraId="0CB59347" w14:textId="1ED1AB8E" w:rsidR="008F69F3" w:rsidRDefault="008F69F3" w:rsidP="008F69F3">
      <w:pPr>
        <w:pStyle w:val="Bullet1"/>
      </w:pPr>
      <w:r>
        <w:t xml:space="preserve">Guidance note: </w:t>
      </w:r>
      <w:r w:rsidR="00372114">
        <w:t>Learnin</w:t>
      </w:r>
      <w:r w:rsidR="00372114" w:rsidRPr="007D73D7">
        <w:rPr>
          <w:color w:val="auto"/>
        </w:rPr>
        <w:t xml:space="preserve">g Resources and Educational </w:t>
      </w:r>
      <w:r w:rsidR="00A9573C" w:rsidRPr="007D73D7">
        <w:rPr>
          <w:color w:val="auto"/>
        </w:rPr>
        <w:t>S</w:t>
      </w:r>
      <w:r w:rsidR="00372114" w:rsidRPr="007D73D7">
        <w:rPr>
          <w:color w:val="auto"/>
        </w:rPr>
        <w:t>upport</w:t>
      </w:r>
      <w:r>
        <w:rPr>
          <w:color w:val="auto"/>
        </w:rPr>
        <w:t xml:space="preserve"> </w:t>
      </w:r>
      <w:r>
        <w:t>(under development)</w:t>
      </w:r>
      <w:r w:rsidR="009A75CC">
        <w:t xml:space="preserve"> </w:t>
      </w:r>
      <w:r w:rsidR="009A75CC">
        <w:t>[</w:t>
      </w:r>
      <w:r w:rsidR="009A75CC" w:rsidRPr="007F39AB">
        <w:rPr>
          <w:highlight w:val="yellow"/>
        </w:rPr>
        <w:t>hyperlink forthcoming</w:t>
      </w:r>
      <w:r w:rsidR="009A75CC">
        <w:t>]</w:t>
      </w:r>
    </w:p>
    <w:p w14:paraId="469C482E" w14:textId="2F90EE47" w:rsidR="009B395B" w:rsidRDefault="00615CB5" w:rsidP="009B395B">
      <w:pPr>
        <w:pStyle w:val="Bullet1"/>
      </w:pPr>
      <w:r>
        <w:t>Guidance note: Monitoring, Review and Improvement (under development)</w:t>
      </w:r>
      <w:r w:rsidR="009A75CC">
        <w:t xml:space="preserve"> </w:t>
      </w:r>
      <w:r w:rsidR="009A75CC">
        <w:t>[</w:t>
      </w:r>
      <w:r w:rsidR="009A75CC" w:rsidRPr="007F39AB">
        <w:rPr>
          <w:highlight w:val="yellow"/>
        </w:rPr>
        <w:t>hyperlink forthcoming</w:t>
      </w:r>
      <w:r w:rsidR="009A75CC">
        <w:t>]</w:t>
      </w:r>
    </w:p>
    <w:p w14:paraId="49976737" w14:textId="140F86AE" w:rsidR="00FF70B7" w:rsidRPr="009B395B" w:rsidRDefault="009B395B" w:rsidP="007D73D7">
      <w:pPr>
        <w:pStyle w:val="Bullet1"/>
        <w:rPr>
          <w:rStyle w:val="Hyperlink"/>
        </w:rPr>
      </w:pPr>
      <w:r>
        <w:fldChar w:fldCharType="begin"/>
      </w:r>
      <w:r>
        <w:instrText xml:space="preserve"> HYPERLINK "https://www.aqf.edu.au/framework/aqf-levels" </w:instrText>
      </w:r>
      <w:r>
        <w:fldChar w:fldCharType="separate"/>
      </w:r>
      <w:r w:rsidR="007D73D7" w:rsidRPr="009B395B">
        <w:rPr>
          <w:rStyle w:val="Hyperlink"/>
        </w:rPr>
        <w:t>Australian Qualifications Framework (AQF)</w:t>
      </w:r>
    </w:p>
    <w:p w14:paraId="224B9496" w14:textId="66B6D440" w:rsidR="009B395B" w:rsidRPr="007D73D7" w:rsidRDefault="009B395B" w:rsidP="007D73D7">
      <w:pPr>
        <w:pStyle w:val="Bullet1"/>
        <w:rPr>
          <w:color w:val="auto"/>
        </w:rPr>
      </w:pPr>
      <w:r>
        <w:fldChar w:fldCharType="end"/>
      </w:r>
      <w:hyperlink r:id="rId13" w:history="1">
        <w:r w:rsidRPr="009B395B">
          <w:rPr>
            <w:rStyle w:val="Hyperlink"/>
          </w:rPr>
          <w:t>Proportion of components of a qualification at a level</w:t>
        </w:r>
      </w:hyperlink>
      <w:r>
        <w:rPr>
          <w:rStyle w:val="Hyperlink"/>
          <w:color w:val="auto"/>
        </w:rPr>
        <w:t xml:space="preserve"> </w:t>
      </w:r>
    </w:p>
    <w:p w14:paraId="795BB8C7" w14:textId="77777777" w:rsidR="00FF70B7" w:rsidRPr="00DD658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DD6587" w14:paraId="2C4C8AAF" w14:textId="77777777" w:rsidTr="5EC3FD72">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BFF7383" w14:textId="64384C76"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1FF51F0"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6AF74CDC" w14:textId="77777777" w:rsidR="00B759C1" w:rsidRPr="00DD6587" w:rsidRDefault="00B759C1" w:rsidP="009F5D9A">
            <w:pPr>
              <w:pStyle w:val="Normal1"/>
              <w:spacing w:line="240" w:lineRule="auto"/>
              <w:rPr>
                <w:b/>
                <w:color w:val="E7E6E6" w:themeColor="background2"/>
                <w:sz w:val="20"/>
                <w:szCs w:val="20"/>
              </w:rPr>
            </w:pPr>
            <w:r w:rsidRPr="00DD6587">
              <w:rPr>
                <w:b/>
                <w:color w:val="E7E6E6" w:themeColor="background2"/>
                <w:sz w:val="20"/>
                <w:szCs w:val="20"/>
              </w:rPr>
              <w:t>Key changes</w:t>
            </w:r>
          </w:p>
        </w:tc>
      </w:tr>
      <w:tr w:rsidR="00B759C1" w:rsidRPr="00DD6587" w14:paraId="6E946C88" w14:textId="77777777" w:rsidTr="5EC3FD72">
        <w:tc>
          <w:tcPr>
            <w:tcW w:w="1276" w:type="dxa"/>
            <w:tcBorders>
              <w:top w:val="nil"/>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131AC" w14:textId="1C6A9656" w:rsidR="00B759C1" w:rsidRPr="00DD6587" w:rsidRDefault="00B759C1" w:rsidP="009F5D9A">
            <w:pPr>
              <w:pStyle w:val="Normal1"/>
              <w:spacing w:line="240" w:lineRule="auto"/>
              <w:rPr>
                <w:sz w:val="20"/>
                <w:szCs w:val="20"/>
              </w:rPr>
            </w:pPr>
          </w:p>
        </w:tc>
        <w:tc>
          <w:tcPr>
            <w:tcW w:w="2126"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048B3BA6" w14:textId="0398EA8B" w:rsidR="00B759C1" w:rsidRPr="00DD6587" w:rsidRDefault="00B759C1" w:rsidP="009F5D9A">
            <w:pPr>
              <w:pStyle w:val="Normal1"/>
              <w:spacing w:line="240" w:lineRule="auto"/>
              <w:rPr>
                <w:sz w:val="20"/>
                <w:szCs w:val="20"/>
              </w:rPr>
            </w:pPr>
          </w:p>
        </w:tc>
        <w:tc>
          <w:tcPr>
            <w:tcW w:w="5954" w:type="dxa"/>
            <w:tcBorders>
              <w:top w:val="nil"/>
              <w:left w:val="nil"/>
              <w:bottom w:val="single" w:sz="4" w:space="0" w:color="auto"/>
              <w:right w:val="single" w:sz="8" w:space="0" w:color="000000" w:themeColor="text1"/>
            </w:tcBorders>
            <w:tcMar>
              <w:top w:w="100" w:type="dxa"/>
              <w:left w:w="100" w:type="dxa"/>
              <w:bottom w:w="100" w:type="dxa"/>
              <w:right w:w="100" w:type="dxa"/>
            </w:tcMar>
          </w:tcPr>
          <w:p w14:paraId="6C7C1091" w14:textId="77777777" w:rsidR="00B759C1" w:rsidRPr="00DD6587" w:rsidRDefault="00B759C1" w:rsidP="009F5D9A">
            <w:pPr>
              <w:pStyle w:val="Normal1"/>
              <w:spacing w:line="240" w:lineRule="auto"/>
              <w:rPr>
                <w:sz w:val="20"/>
                <w:szCs w:val="20"/>
              </w:rPr>
            </w:pPr>
          </w:p>
        </w:tc>
      </w:tr>
    </w:tbl>
    <w:p w14:paraId="3BDBEA81" w14:textId="506E26FA" w:rsidR="5EC3FD72" w:rsidRDefault="5EC3FD72"/>
    <w:p w14:paraId="5101D4CC" w14:textId="28BAD580" w:rsidR="00B759C1" w:rsidRPr="00DD6587" w:rsidRDefault="00B759C1">
      <w:pPr>
        <w:pStyle w:val="BulletsL1"/>
        <w:numPr>
          <w:ilvl w:val="0"/>
          <w:numId w:val="0"/>
        </w:numPr>
        <w:rPr>
          <w:rFonts w:cs="Arial"/>
          <w:lang w:val="en-AU"/>
        </w:rPr>
      </w:pPr>
    </w:p>
    <w:sectPr w:rsidR="00B759C1" w:rsidRPr="00DD6587" w:rsidSect="00EC5DD6">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29F0" w14:textId="77777777" w:rsidR="000B3FA9" w:rsidRDefault="000B3FA9" w:rsidP="006C328D">
      <w:pPr>
        <w:spacing w:before="0" w:after="0"/>
      </w:pPr>
      <w:r>
        <w:separator/>
      </w:r>
    </w:p>
  </w:endnote>
  <w:endnote w:type="continuationSeparator" w:id="0">
    <w:p w14:paraId="794D1B31" w14:textId="77777777" w:rsidR="000B3FA9" w:rsidRDefault="000B3FA9"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F46A" w14:textId="0E001517" w:rsidR="002C7D42" w:rsidRDefault="002C7D42">
    <w:pPr>
      <w:pStyle w:val="Footer"/>
    </w:pPr>
    <w:r>
      <w:rPr>
        <w:noProof/>
      </w:rPr>
      <mc:AlternateContent>
        <mc:Choice Requires="wps">
          <w:drawing>
            <wp:anchor distT="0" distB="0" distL="114300" distR="114300" simplePos="0" relativeHeight="251664384" behindDoc="0" locked="1" layoutInCell="0" allowOverlap="1" wp14:anchorId="3435DC1D" wp14:editId="5EE75CCA">
              <wp:simplePos x="0" y="0"/>
              <wp:positionH relativeFrom="margin">
                <wp:align>center</wp:align>
              </wp:positionH>
              <wp:positionV relativeFrom="bottomMargin">
                <wp:align>center</wp:align>
              </wp:positionV>
              <wp:extent cx="892175" cy="273050"/>
              <wp:effectExtent l="0" t="0" r="0" b="0"/>
              <wp:wrapNone/>
              <wp:docPr id="2065626926"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C87F58" w14:textId="4F52B079"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PM_ProtectiveMarkingValue_Footer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35DC1D"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64C87F58" w14:textId="4F52B079"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PM_ProtectiveMarkingValue_Footer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1057" w14:textId="7A62C5F3" w:rsidR="009F5D9A" w:rsidRPr="00FF2540" w:rsidRDefault="002C7D42">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62336" behindDoc="0" locked="1" layoutInCell="0" allowOverlap="1" wp14:anchorId="3A50E6BA" wp14:editId="2545AD76">
              <wp:simplePos x="0" y="0"/>
              <wp:positionH relativeFrom="margin">
                <wp:align>center</wp:align>
              </wp:positionH>
              <wp:positionV relativeFrom="bottomMargin">
                <wp:align>center</wp:align>
              </wp:positionV>
              <wp:extent cx="892175" cy="273050"/>
              <wp:effectExtent l="0" t="0" r="0" b="0"/>
              <wp:wrapNone/>
              <wp:docPr id="568670372"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5489F" w14:textId="3407A28F"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PM_ProtectiveMarkingValue_Footer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50E6BA"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1395489F" w14:textId="3407A28F"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PM_ProtectiveMarkingValue_Footer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3F2E" w14:textId="1052F235" w:rsidR="002C7D42" w:rsidRDefault="002C7D42">
    <w:pPr>
      <w:pStyle w:val="Footer"/>
    </w:pPr>
    <w:r>
      <w:rPr>
        <w:noProof/>
      </w:rPr>
      <mc:AlternateContent>
        <mc:Choice Requires="wps">
          <w:drawing>
            <wp:anchor distT="0" distB="0" distL="114300" distR="114300" simplePos="0" relativeHeight="251663360" behindDoc="0" locked="1" layoutInCell="0" allowOverlap="1" wp14:anchorId="59228942" wp14:editId="532FB569">
              <wp:simplePos x="0" y="0"/>
              <wp:positionH relativeFrom="margin">
                <wp:align>center</wp:align>
              </wp:positionH>
              <wp:positionV relativeFrom="bottomMargin">
                <wp:align>center</wp:align>
              </wp:positionV>
              <wp:extent cx="892175" cy="273050"/>
              <wp:effectExtent l="0" t="0" r="0" b="0"/>
              <wp:wrapNone/>
              <wp:docPr id="105273733"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A3E74" w14:textId="66A480DB"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PM_ProtectiveMarkingValue_Footer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28942" id="_x0000_t202" coordsize="21600,21600" o:spt="202" path="m,l,21600r21600,l21600,xe">
              <v:stroke joinstyle="miter"/>
              <v:path gradientshapeok="t" o:connecttype="rect"/>
            </v:shapetype>
            <v:shape id="janusSEAL SC F_FirstPage" o:spid="_x0000_s1031" type="#_x0000_t202" style="position:absolute;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0ABA3E74" w14:textId="66A480DB"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PM_ProtectiveMarkingValue_Footer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C320" w14:textId="77777777" w:rsidR="000B3FA9" w:rsidRDefault="000B3FA9" w:rsidP="006C328D">
      <w:pPr>
        <w:spacing w:before="0" w:after="0"/>
      </w:pPr>
      <w:r>
        <w:separator/>
      </w:r>
    </w:p>
  </w:footnote>
  <w:footnote w:type="continuationSeparator" w:id="0">
    <w:p w14:paraId="3F7C8739" w14:textId="77777777" w:rsidR="000B3FA9" w:rsidRDefault="000B3FA9"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FF10" w14:textId="6356C08A" w:rsidR="002C7D42" w:rsidRDefault="002C7D42">
    <w:pPr>
      <w:pStyle w:val="Header"/>
    </w:pPr>
    <w:r>
      <w:rPr>
        <w:noProof/>
      </w:rPr>
      <mc:AlternateContent>
        <mc:Choice Requires="wps">
          <w:drawing>
            <wp:anchor distT="0" distB="0" distL="114300" distR="114300" simplePos="0" relativeHeight="251661312" behindDoc="0" locked="1" layoutInCell="0" allowOverlap="1" wp14:anchorId="12255A08" wp14:editId="17A26C62">
              <wp:simplePos x="0" y="0"/>
              <wp:positionH relativeFrom="margin">
                <wp:align>center</wp:align>
              </wp:positionH>
              <wp:positionV relativeFrom="topMargin">
                <wp:align>center</wp:align>
              </wp:positionV>
              <wp:extent cx="892175" cy="273050"/>
              <wp:effectExtent l="0" t="0" r="0" b="0"/>
              <wp:wrapNone/>
              <wp:docPr id="1978161093"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4AC54" w14:textId="30AF8594"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PM_ProtectiveMarkingValue_Header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255A08"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6A34AC54" w14:textId="30AF8594"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PM_ProtectiveMarkingValue_Header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9C76" w14:textId="7BDCE939" w:rsidR="009F5D9A" w:rsidRPr="006C328D" w:rsidRDefault="002C7D42"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mc:AlternateContent>
        <mc:Choice Requires="wps">
          <w:drawing>
            <wp:anchor distT="0" distB="0" distL="114300" distR="114300" simplePos="0" relativeHeight="251659264" behindDoc="0" locked="1" layoutInCell="0" allowOverlap="1" wp14:anchorId="64EC2AE3" wp14:editId="07AF9DC0">
              <wp:simplePos x="0" y="0"/>
              <wp:positionH relativeFrom="margin">
                <wp:align>center</wp:align>
              </wp:positionH>
              <wp:positionV relativeFrom="topMargin">
                <wp:align>center</wp:align>
              </wp:positionV>
              <wp:extent cx="892175" cy="273050"/>
              <wp:effectExtent l="0" t="0" r="0" b="0"/>
              <wp:wrapNone/>
              <wp:docPr id="1295048476"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5CD33" w14:textId="15D8F726"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PM_ProtectiveMarkingValue_Header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EC2AE3"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fill o:detectmouseclick="t"/>
              <v:textbox style="mso-fit-shape-to-text:t">
                <w:txbxContent>
                  <w:p w14:paraId="19F5CD33" w14:textId="15D8F726"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PM_ProtectiveMarkingValue_Header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1D9D" w14:textId="5469C8E1" w:rsidR="002C7D42" w:rsidRDefault="002C7D42">
    <w:pPr>
      <w:pStyle w:val="Header"/>
    </w:pPr>
    <w:r>
      <w:rPr>
        <w:noProof/>
      </w:rPr>
      <mc:AlternateContent>
        <mc:Choice Requires="wps">
          <w:drawing>
            <wp:anchor distT="0" distB="0" distL="114300" distR="114300" simplePos="0" relativeHeight="251660288" behindDoc="0" locked="1" layoutInCell="0" allowOverlap="1" wp14:anchorId="794C4D5B" wp14:editId="389BF76A">
              <wp:simplePos x="0" y="0"/>
              <wp:positionH relativeFrom="margin">
                <wp:align>center</wp:align>
              </wp:positionH>
              <wp:positionV relativeFrom="topMargin">
                <wp:align>center</wp:align>
              </wp:positionV>
              <wp:extent cx="892175" cy="273050"/>
              <wp:effectExtent l="0" t="0" r="0" b="0"/>
              <wp:wrapNone/>
              <wp:docPr id="1675560829"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A70D7" w14:textId="4D9B37BF"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PM_ProtectiveMarkingValue_Header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4C4D5B" id="_x0000_t202" coordsize="21600,21600" o:spt="202" path="m,l,21600r21600,l21600,xe">
              <v:stroke joinstyle="miter"/>
              <v:path gradientshapeok="t" o:connecttype="rect"/>
            </v:shapetype>
            <v:shape id="janusSEAL SC H_FirstPage" o:spid="_x0000_s1030" type="#_x0000_t202" style="position:absolute;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fill o:detectmouseclick="t"/>
              <v:textbox style="mso-fit-shape-to-text:t">
                <w:txbxContent>
                  <w:p w14:paraId="0D5A70D7" w14:textId="4D9B37BF" w:rsidR="002C7D42" w:rsidRPr="002C7D42" w:rsidRDefault="002C7D42" w:rsidP="002C7D42">
                    <w:pPr>
                      <w:spacing w:before="0" w:after="0"/>
                      <w:jc w:val="center"/>
                      <w:rPr>
                        <w:b/>
                        <w:color w:val="FF0000"/>
                        <w:sz w:val="24"/>
                      </w:rPr>
                    </w:pPr>
                    <w:r w:rsidRPr="002C7D42">
                      <w:rPr>
                        <w:b/>
                        <w:color w:val="FF0000"/>
                        <w:sz w:val="24"/>
                      </w:rPr>
                      <w:fldChar w:fldCharType="begin"/>
                    </w:r>
                    <w:r w:rsidRPr="002C7D42">
                      <w:rPr>
                        <w:b/>
                        <w:color w:val="FF0000"/>
                        <w:sz w:val="24"/>
                      </w:rPr>
                      <w:instrText xml:space="preserve"> DOCPROPERTY PM_ProtectiveMarkingValue_Header \* MERGEFORMAT </w:instrText>
                    </w:r>
                    <w:r w:rsidRPr="002C7D42">
                      <w:rPr>
                        <w:b/>
                        <w:color w:val="FF0000"/>
                        <w:sz w:val="24"/>
                      </w:rPr>
                      <w:fldChar w:fldCharType="separate"/>
                    </w:r>
                    <w:r w:rsidR="00CC1AD5">
                      <w:rPr>
                        <w:b/>
                        <w:color w:val="FF0000"/>
                        <w:sz w:val="24"/>
                      </w:rPr>
                      <w:t>OFFICIAL</w:t>
                    </w:r>
                    <w:r w:rsidRPr="002C7D42">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36.3pt" o:bullet="t">
        <v:imagedata r:id="rId1" o:title="Teal-Triangles"/>
      </v:shape>
    </w:pict>
  </w:numPicBullet>
  <w:numPicBullet w:numPicBulletId="1">
    <w:pict>
      <v:shape id="_x0000_i1060" type="#_x0000_t75" style="width:1in;height:36.3pt" o:bullet="t">
        <v:imagedata r:id="rId2" o:title="Pink-Triangles"/>
      </v:shape>
    </w:pict>
  </w:numPicBullet>
  <w:numPicBullet w:numPicBulletId="2">
    <w:pict>
      <v:shape id="_x0000_i1061" type="#_x0000_t75" style="width:1in;height:36.3pt" o:bullet="t">
        <v:imagedata r:id="rId3" o:title="Yellow-Triangles"/>
      </v:shape>
    </w:pict>
  </w:numPicBullet>
  <w:abstractNum w:abstractNumId="0" w15:restartNumberingAfterBreak="0">
    <w:nsid w:val="069111E7"/>
    <w:multiLevelType w:val="hybridMultilevel"/>
    <w:tmpl w:val="0C56C42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82E6F"/>
    <w:multiLevelType w:val="hybridMultilevel"/>
    <w:tmpl w:val="0F1C10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235EF"/>
    <w:multiLevelType w:val="hybridMultilevel"/>
    <w:tmpl w:val="91A27FF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31EC6"/>
    <w:multiLevelType w:val="hybridMultilevel"/>
    <w:tmpl w:val="7B6436D2"/>
    <w:lvl w:ilvl="0" w:tplc="2DB62B8E">
      <w:start w:val="1"/>
      <w:numFmt w:val="bullet"/>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D1F5B"/>
    <w:multiLevelType w:val="hybridMultilevel"/>
    <w:tmpl w:val="1960F49E"/>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1CD96585"/>
    <w:multiLevelType w:val="hybridMultilevel"/>
    <w:tmpl w:val="D2F8F9A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541A5"/>
    <w:multiLevelType w:val="multilevel"/>
    <w:tmpl w:val="63D68E2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852" w:hanging="284"/>
      </w:pPr>
      <w:rPr>
        <w:rFonts w:ascii="Arial" w:hAnsi="Arial" w:hint="default"/>
        <w:color w:val="00847E" w:themeColor="accent1"/>
      </w:rPr>
    </w:lvl>
    <w:lvl w:ilvl="2">
      <w:start w:val="1"/>
      <w:numFmt w:val="bullet"/>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7" w15:restartNumberingAfterBreak="0">
    <w:nsid w:val="214644B1"/>
    <w:multiLevelType w:val="hybridMultilevel"/>
    <w:tmpl w:val="EB36FBE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34D1A"/>
    <w:multiLevelType w:val="hybridMultilevel"/>
    <w:tmpl w:val="5982689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9520C"/>
    <w:multiLevelType w:val="hybridMultilevel"/>
    <w:tmpl w:val="A23C519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35AB4"/>
    <w:multiLevelType w:val="hybridMultilevel"/>
    <w:tmpl w:val="FD02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CB6E53"/>
    <w:multiLevelType w:val="hybridMultilevel"/>
    <w:tmpl w:val="5D5E6F2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A332E"/>
    <w:multiLevelType w:val="multilevel"/>
    <w:tmpl w:val="5B30B57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851"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3CF4C82"/>
    <w:multiLevelType w:val="hybridMultilevel"/>
    <w:tmpl w:val="B6149E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D5B51"/>
    <w:multiLevelType w:val="hybridMultilevel"/>
    <w:tmpl w:val="F58A39E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C662B9"/>
    <w:multiLevelType w:val="hybridMultilevel"/>
    <w:tmpl w:val="050AC09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965BBA"/>
    <w:multiLevelType w:val="hybridMultilevel"/>
    <w:tmpl w:val="65DE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0F3C96"/>
    <w:multiLevelType w:val="hybridMultilevel"/>
    <w:tmpl w:val="2DEC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373861"/>
    <w:multiLevelType w:val="hybridMultilevel"/>
    <w:tmpl w:val="213E9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A172B5"/>
    <w:multiLevelType w:val="hybridMultilevel"/>
    <w:tmpl w:val="91144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01424D"/>
    <w:multiLevelType w:val="hybridMultilevel"/>
    <w:tmpl w:val="6762B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8A1AEF"/>
    <w:multiLevelType w:val="hybridMultilevel"/>
    <w:tmpl w:val="DC706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51B2E"/>
    <w:multiLevelType w:val="hybridMultilevel"/>
    <w:tmpl w:val="F1EC6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4A7734"/>
    <w:multiLevelType w:val="hybridMultilevel"/>
    <w:tmpl w:val="81087ACC"/>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283B55"/>
    <w:multiLevelType w:val="multilevel"/>
    <w:tmpl w:val="29BA2664"/>
    <w:lvl w:ilvl="0">
      <w:start w:val="1"/>
      <w:numFmt w:val="decimal"/>
      <w:pStyle w:val="FigureTitle"/>
      <w:lvlText w:val="Figur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FB66B8"/>
    <w:multiLevelType w:val="hybridMultilevel"/>
    <w:tmpl w:val="E682898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8" w15:restartNumberingAfterBreak="0">
    <w:nsid w:val="60DE6C5C"/>
    <w:multiLevelType w:val="hybridMultilevel"/>
    <w:tmpl w:val="BBA4FF8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456EF"/>
    <w:multiLevelType w:val="hybridMultilevel"/>
    <w:tmpl w:val="C6C4D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001282"/>
    <w:multiLevelType w:val="hybridMultilevel"/>
    <w:tmpl w:val="8F203FC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04536"/>
    <w:multiLevelType w:val="hybridMultilevel"/>
    <w:tmpl w:val="D742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D7E08"/>
    <w:multiLevelType w:val="hybridMultilevel"/>
    <w:tmpl w:val="9550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A237F2"/>
    <w:multiLevelType w:val="hybridMultilevel"/>
    <w:tmpl w:val="E176F9EC"/>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4" w15:restartNumberingAfterBreak="0">
    <w:nsid w:val="75A9139D"/>
    <w:multiLevelType w:val="hybridMultilevel"/>
    <w:tmpl w:val="CD8E481A"/>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46"/>
  </w:num>
  <w:num w:numId="2" w16cid:durableId="1454596241">
    <w:abstractNumId w:val="45"/>
  </w:num>
  <w:num w:numId="3" w16cid:durableId="1735006920">
    <w:abstractNumId w:val="17"/>
  </w:num>
  <w:num w:numId="4" w16cid:durableId="1615096026">
    <w:abstractNumId w:val="35"/>
  </w:num>
  <w:num w:numId="5" w16cid:durableId="474376293">
    <w:abstractNumId w:val="34"/>
  </w:num>
  <w:num w:numId="6" w16cid:durableId="1738548158">
    <w:abstractNumId w:val="32"/>
  </w:num>
  <w:num w:numId="7" w16cid:durableId="227151088">
    <w:abstractNumId w:val="13"/>
  </w:num>
  <w:num w:numId="8" w16cid:durableId="120194778">
    <w:abstractNumId w:val="14"/>
  </w:num>
  <w:num w:numId="9" w16cid:durableId="1232084426">
    <w:abstractNumId w:val="15"/>
  </w:num>
  <w:num w:numId="10" w16cid:durableId="2018917101">
    <w:abstractNumId w:val="33"/>
  </w:num>
  <w:num w:numId="11" w16cid:durableId="124588575">
    <w:abstractNumId w:val="23"/>
  </w:num>
  <w:num w:numId="12" w16cid:durableId="1633095877">
    <w:abstractNumId w:val="9"/>
  </w:num>
  <w:num w:numId="13" w16cid:durableId="1014379581">
    <w:abstractNumId w:val="8"/>
  </w:num>
  <w:num w:numId="14" w16cid:durableId="227498247">
    <w:abstractNumId w:val="3"/>
  </w:num>
  <w:num w:numId="15" w16cid:durableId="1317607550">
    <w:abstractNumId w:val="29"/>
  </w:num>
  <w:num w:numId="16" w16cid:durableId="1403601184">
    <w:abstractNumId w:val="16"/>
  </w:num>
  <w:num w:numId="17" w16cid:durableId="176117904">
    <w:abstractNumId w:val="31"/>
  </w:num>
  <w:num w:numId="18" w16cid:durableId="1584991523">
    <w:abstractNumId w:val="36"/>
  </w:num>
  <w:num w:numId="19" w16cid:durableId="1346712945">
    <w:abstractNumId w:val="5"/>
  </w:num>
  <w:num w:numId="20" w16cid:durableId="1747261170">
    <w:abstractNumId w:val="38"/>
  </w:num>
  <w:num w:numId="21" w16cid:durableId="815876454">
    <w:abstractNumId w:val="40"/>
  </w:num>
  <w:num w:numId="22" w16cid:durableId="1967083180">
    <w:abstractNumId w:val="7"/>
  </w:num>
  <w:num w:numId="23" w16cid:durableId="557129711">
    <w:abstractNumId w:val="1"/>
  </w:num>
  <w:num w:numId="24" w16cid:durableId="1126849327">
    <w:abstractNumId w:val="10"/>
  </w:num>
  <w:num w:numId="25" w16cid:durableId="213733483">
    <w:abstractNumId w:val="19"/>
  </w:num>
  <w:num w:numId="26" w16cid:durableId="775708415">
    <w:abstractNumId w:val="20"/>
  </w:num>
  <w:num w:numId="27" w16cid:durableId="834761605">
    <w:abstractNumId w:val="2"/>
  </w:num>
  <w:num w:numId="28" w16cid:durableId="1779520564">
    <w:abstractNumId w:val="11"/>
  </w:num>
  <w:num w:numId="29" w16cid:durableId="446974455">
    <w:abstractNumId w:val="43"/>
  </w:num>
  <w:num w:numId="30" w16cid:durableId="66272634">
    <w:abstractNumId w:val="4"/>
  </w:num>
  <w:num w:numId="31" w16cid:durableId="1072236414">
    <w:abstractNumId w:val="0"/>
  </w:num>
  <w:num w:numId="32" w16cid:durableId="2065908648">
    <w:abstractNumId w:val="18"/>
  </w:num>
  <w:num w:numId="33" w16cid:durableId="1458794163">
    <w:abstractNumId w:val="44"/>
  </w:num>
  <w:num w:numId="34" w16cid:durableId="776604904">
    <w:abstractNumId w:val="22"/>
  </w:num>
  <w:num w:numId="35" w16cid:durableId="1150905779">
    <w:abstractNumId w:val="37"/>
  </w:num>
  <w:num w:numId="36" w16cid:durableId="381056798">
    <w:abstractNumId w:val="6"/>
  </w:num>
  <w:num w:numId="37" w16cid:durableId="2111198936">
    <w:abstractNumId w:val="17"/>
  </w:num>
  <w:num w:numId="38" w16cid:durableId="741606906">
    <w:abstractNumId w:val="17"/>
  </w:num>
  <w:num w:numId="39" w16cid:durableId="885216000">
    <w:abstractNumId w:val="42"/>
  </w:num>
  <w:num w:numId="40" w16cid:durableId="144394829">
    <w:abstractNumId w:val="25"/>
  </w:num>
  <w:num w:numId="41" w16cid:durableId="2073691831">
    <w:abstractNumId w:val="21"/>
  </w:num>
  <w:num w:numId="42" w16cid:durableId="107891154">
    <w:abstractNumId w:val="30"/>
  </w:num>
  <w:num w:numId="43" w16cid:durableId="1249802264">
    <w:abstractNumId w:val="28"/>
  </w:num>
  <w:num w:numId="44" w16cid:durableId="1743257988">
    <w:abstractNumId w:val="27"/>
  </w:num>
  <w:num w:numId="45" w16cid:durableId="245304935">
    <w:abstractNumId w:val="24"/>
  </w:num>
  <w:num w:numId="46" w16cid:durableId="317391446">
    <w:abstractNumId w:val="26"/>
  </w:num>
  <w:num w:numId="47" w16cid:durableId="2097942179">
    <w:abstractNumId w:val="41"/>
  </w:num>
  <w:num w:numId="48" w16cid:durableId="40177421">
    <w:abstractNumId w:val="35"/>
  </w:num>
  <w:num w:numId="49" w16cid:durableId="455148477">
    <w:abstractNumId w:val="12"/>
  </w:num>
  <w:num w:numId="50" w16cid:durableId="1081560438">
    <w:abstractNumId w:val="6"/>
  </w:num>
  <w:num w:numId="51" w16cid:durableId="370687900">
    <w:abstractNumId w:val="6"/>
  </w:num>
  <w:num w:numId="52" w16cid:durableId="1699501147">
    <w:abstractNumId w:val="39"/>
  </w:num>
  <w:num w:numId="53" w16cid:durableId="140123823">
    <w:abstractNumId w:val="6"/>
  </w:num>
  <w:num w:numId="54" w16cid:durableId="598829078">
    <w:abstractNumId w:val="6"/>
  </w:num>
  <w:num w:numId="55" w16cid:durableId="142816093">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07DB2"/>
    <w:rsid w:val="000103BA"/>
    <w:rsid w:val="00011C21"/>
    <w:rsid w:val="00013DBD"/>
    <w:rsid w:val="00017DB0"/>
    <w:rsid w:val="0002032A"/>
    <w:rsid w:val="00020339"/>
    <w:rsid w:val="000219E6"/>
    <w:rsid w:val="00021A0D"/>
    <w:rsid w:val="00022B45"/>
    <w:rsid w:val="00024A08"/>
    <w:rsid w:val="000320E3"/>
    <w:rsid w:val="00033569"/>
    <w:rsid w:val="000342DB"/>
    <w:rsid w:val="00040A3A"/>
    <w:rsid w:val="0004321F"/>
    <w:rsid w:val="00047FB3"/>
    <w:rsid w:val="00055F9D"/>
    <w:rsid w:val="00056406"/>
    <w:rsid w:val="00063651"/>
    <w:rsid w:val="0007028B"/>
    <w:rsid w:val="00071592"/>
    <w:rsid w:val="000766E4"/>
    <w:rsid w:val="00082CF7"/>
    <w:rsid w:val="00084151"/>
    <w:rsid w:val="000934AE"/>
    <w:rsid w:val="000944B4"/>
    <w:rsid w:val="00097AD5"/>
    <w:rsid w:val="000A0CB8"/>
    <w:rsid w:val="000A60F3"/>
    <w:rsid w:val="000B0BA9"/>
    <w:rsid w:val="000B3FA9"/>
    <w:rsid w:val="000B49DC"/>
    <w:rsid w:val="000B7D25"/>
    <w:rsid w:val="000C0AB6"/>
    <w:rsid w:val="000C18DA"/>
    <w:rsid w:val="000C4D9B"/>
    <w:rsid w:val="000C5ED3"/>
    <w:rsid w:val="000C6678"/>
    <w:rsid w:val="000D03F5"/>
    <w:rsid w:val="000D2C11"/>
    <w:rsid w:val="000D4A12"/>
    <w:rsid w:val="000E0EE7"/>
    <w:rsid w:val="000E4914"/>
    <w:rsid w:val="000E510F"/>
    <w:rsid w:val="000E5FBD"/>
    <w:rsid w:val="000E688F"/>
    <w:rsid w:val="000F00DE"/>
    <w:rsid w:val="000F0FF2"/>
    <w:rsid w:val="000F117B"/>
    <w:rsid w:val="000F26A9"/>
    <w:rsid w:val="0010060C"/>
    <w:rsid w:val="00100B86"/>
    <w:rsid w:val="0010107C"/>
    <w:rsid w:val="001027A7"/>
    <w:rsid w:val="00107D1B"/>
    <w:rsid w:val="001126FD"/>
    <w:rsid w:val="00116A17"/>
    <w:rsid w:val="0012466C"/>
    <w:rsid w:val="001264AD"/>
    <w:rsid w:val="00126E4D"/>
    <w:rsid w:val="0013286C"/>
    <w:rsid w:val="0013298A"/>
    <w:rsid w:val="00134DD1"/>
    <w:rsid w:val="00140A28"/>
    <w:rsid w:val="00140F62"/>
    <w:rsid w:val="001440A7"/>
    <w:rsid w:val="001473A3"/>
    <w:rsid w:val="00152D17"/>
    <w:rsid w:val="001561CC"/>
    <w:rsid w:val="0016408F"/>
    <w:rsid w:val="00164942"/>
    <w:rsid w:val="001707A3"/>
    <w:rsid w:val="00171082"/>
    <w:rsid w:val="00171319"/>
    <w:rsid w:val="00177956"/>
    <w:rsid w:val="001812E2"/>
    <w:rsid w:val="00181F0E"/>
    <w:rsid w:val="00182476"/>
    <w:rsid w:val="001845B1"/>
    <w:rsid w:val="001910C8"/>
    <w:rsid w:val="001918E1"/>
    <w:rsid w:val="001937CF"/>
    <w:rsid w:val="00193F79"/>
    <w:rsid w:val="00194220"/>
    <w:rsid w:val="00194D16"/>
    <w:rsid w:val="00196F2D"/>
    <w:rsid w:val="001A4435"/>
    <w:rsid w:val="001A5028"/>
    <w:rsid w:val="001A7DEF"/>
    <w:rsid w:val="001B7510"/>
    <w:rsid w:val="001C1EC9"/>
    <w:rsid w:val="001C43A2"/>
    <w:rsid w:val="001C68AB"/>
    <w:rsid w:val="001E06B7"/>
    <w:rsid w:val="001E3806"/>
    <w:rsid w:val="001E4003"/>
    <w:rsid w:val="001E7BCF"/>
    <w:rsid w:val="001E7EFA"/>
    <w:rsid w:val="001F1065"/>
    <w:rsid w:val="001F205F"/>
    <w:rsid w:val="001F2D49"/>
    <w:rsid w:val="001F39F5"/>
    <w:rsid w:val="001F3B80"/>
    <w:rsid w:val="00201563"/>
    <w:rsid w:val="002019A1"/>
    <w:rsid w:val="002044A1"/>
    <w:rsid w:val="00204BC7"/>
    <w:rsid w:val="00204F6B"/>
    <w:rsid w:val="00205331"/>
    <w:rsid w:val="002075C2"/>
    <w:rsid w:val="00210D74"/>
    <w:rsid w:val="002157C3"/>
    <w:rsid w:val="00220FB0"/>
    <w:rsid w:val="002238DF"/>
    <w:rsid w:val="002241CE"/>
    <w:rsid w:val="0022469E"/>
    <w:rsid w:val="0023279E"/>
    <w:rsid w:val="00233FDD"/>
    <w:rsid w:val="00234066"/>
    <w:rsid w:val="002363AF"/>
    <w:rsid w:val="0024219C"/>
    <w:rsid w:val="00244814"/>
    <w:rsid w:val="00244D59"/>
    <w:rsid w:val="002512D9"/>
    <w:rsid w:val="00253EE0"/>
    <w:rsid w:val="00255EA2"/>
    <w:rsid w:val="002577FB"/>
    <w:rsid w:val="00257BF4"/>
    <w:rsid w:val="00267F4E"/>
    <w:rsid w:val="00276729"/>
    <w:rsid w:val="002770FF"/>
    <w:rsid w:val="0028229D"/>
    <w:rsid w:val="002866BA"/>
    <w:rsid w:val="002955EE"/>
    <w:rsid w:val="002A0F67"/>
    <w:rsid w:val="002A55D6"/>
    <w:rsid w:val="002A56DB"/>
    <w:rsid w:val="002A7000"/>
    <w:rsid w:val="002B0A45"/>
    <w:rsid w:val="002B23DF"/>
    <w:rsid w:val="002B4967"/>
    <w:rsid w:val="002B6FC1"/>
    <w:rsid w:val="002C49F9"/>
    <w:rsid w:val="002C5F51"/>
    <w:rsid w:val="002C794A"/>
    <w:rsid w:val="002C7D42"/>
    <w:rsid w:val="002C7E4F"/>
    <w:rsid w:val="002D24B0"/>
    <w:rsid w:val="002E5D7C"/>
    <w:rsid w:val="002F06CD"/>
    <w:rsid w:val="002F1FD6"/>
    <w:rsid w:val="002F204F"/>
    <w:rsid w:val="002F63DD"/>
    <w:rsid w:val="002F7389"/>
    <w:rsid w:val="0030065D"/>
    <w:rsid w:val="0030651C"/>
    <w:rsid w:val="00306EDD"/>
    <w:rsid w:val="00311DEB"/>
    <w:rsid w:val="0031485B"/>
    <w:rsid w:val="00315F8F"/>
    <w:rsid w:val="003204C6"/>
    <w:rsid w:val="0032329A"/>
    <w:rsid w:val="00331326"/>
    <w:rsid w:val="00334C2A"/>
    <w:rsid w:val="0034020D"/>
    <w:rsid w:val="00340768"/>
    <w:rsid w:val="00343A0A"/>
    <w:rsid w:val="00345122"/>
    <w:rsid w:val="00345AA5"/>
    <w:rsid w:val="00350C0A"/>
    <w:rsid w:val="00350F2E"/>
    <w:rsid w:val="00352260"/>
    <w:rsid w:val="00352408"/>
    <w:rsid w:val="00355B8D"/>
    <w:rsid w:val="00363AA3"/>
    <w:rsid w:val="003678F1"/>
    <w:rsid w:val="00367C15"/>
    <w:rsid w:val="00370759"/>
    <w:rsid w:val="003716A4"/>
    <w:rsid w:val="0037189D"/>
    <w:rsid w:val="00372114"/>
    <w:rsid w:val="003778EB"/>
    <w:rsid w:val="003823FE"/>
    <w:rsid w:val="00384709"/>
    <w:rsid w:val="00385CF9"/>
    <w:rsid w:val="00386918"/>
    <w:rsid w:val="00386DE5"/>
    <w:rsid w:val="00394632"/>
    <w:rsid w:val="003955DD"/>
    <w:rsid w:val="003A0BD3"/>
    <w:rsid w:val="003A1549"/>
    <w:rsid w:val="003A56EB"/>
    <w:rsid w:val="003B1090"/>
    <w:rsid w:val="003B5CBC"/>
    <w:rsid w:val="003C0410"/>
    <w:rsid w:val="003C0490"/>
    <w:rsid w:val="003C559A"/>
    <w:rsid w:val="003C7D7A"/>
    <w:rsid w:val="003D549B"/>
    <w:rsid w:val="003D5815"/>
    <w:rsid w:val="003E02F2"/>
    <w:rsid w:val="003E0BCC"/>
    <w:rsid w:val="003E0DFA"/>
    <w:rsid w:val="003E4D06"/>
    <w:rsid w:val="003F2713"/>
    <w:rsid w:val="003F53AD"/>
    <w:rsid w:val="003F581D"/>
    <w:rsid w:val="003F7130"/>
    <w:rsid w:val="003F7443"/>
    <w:rsid w:val="003F75C3"/>
    <w:rsid w:val="00402296"/>
    <w:rsid w:val="004025FE"/>
    <w:rsid w:val="00402F32"/>
    <w:rsid w:val="00406699"/>
    <w:rsid w:val="00411901"/>
    <w:rsid w:val="004126B0"/>
    <w:rsid w:val="00417B39"/>
    <w:rsid w:val="00421DF9"/>
    <w:rsid w:val="004240B5"/>
    <w:rsid w:val="004304A0"/>
    <w:rsid w:val="004312AD"/>
    <w:rsid w:val="00433D0C"/>
    <w:rsid w:val="00434ADB"/>
    <w:rsid w:val="00435362"/>
    <w:rsid w:val="004353A9"/>
    <w:rsid w:val="00436E67"/>
    <w:rsid w:val="00443168"/>
    <w:rsid w:val="0044410E"/>
    <w:rsid w:val="00451687"/>
    <w:rsid w:val="004540D7"/>
    <w:rsid w:val="00454E57"/>
    <w:rsid w:val="00455DEF"/>
    <w:rsid w:val="0045740F"/>
    <w:rsid w:val="00460ECD"/>
    <w:rsid w:val="00465A13"/>
    <w:rsid w:val="004677FD"/>
    <w:rsid w:val="0048160D"/>
    <w:rsid w:val="00483985"/>
    <w:rsid w:val="00484490"/>
    <w:rsid w:val="00485DA4"/>
    <w:rsid w:val="004A076E"/>
    <w:rsid w:val="004A09F6"/>
    <w:rsid w:val="004A0D96"/>
    <w:rsid w:val="004A2BDE"/>
    <w:rsid w:val="004A41D8"/>
    <w:rsid w:val="004A438F"/>
    <w:rsid w:val="004B0EA6"/>
    <w:rsid w:val="004B63E5"/>
    <w:rsid w:val="004C020E"/>
    <w:rsid w:val="004C0C25"/>
    <w:rsid w:val="004C20B3"/>
    <w:rsid w:val="004C3277"/>
    <w:rsid w:val="004C39E3"/>
    <w:rsid w:val="004C4931"/>
    <w:rsid w:val="004C569B"/>
    <w:rsid w:val="004C6C45"/>
    <w:rsid w:val="004C6C79"/>
    <w:rsid w:val="004C7025"/>
    <w:rsid w:val="004D2C3F"/>
    <w:rsid w:val="004D3D4E"/>
    <w:rsid w:val="004D5186"/>
    <w:rsid w:val="004E4C78"/>
    <w:rsid w:val="004E5C4D"/>
    <w:rsid w:val="004E7A10"/>
    <w:rsid w:val="004F0130"/>
    <w:rsid w:val="004F02E2"/>
    <w:rsid w:val="004F09A5"/>
    <w:rsid w:val="004F190C"/>
    <w:rsid w:val="004F1997"/>
    <w:rsid w:val="004F1B3E"/>
    <w:rsid w:val="004F2726"/>
    <w:rsid w:val="004F3048"/>
    <w:rsid w:val="004F5D9C"/>
    <w:rsid w:val="004F67F0"/>
    <w:rsid w:val="004F71F5"/>
    <w:rsid w:val="00500740"/>
    <w:rsid w:val="005109DC"/>
    <w:rsid w:val="00511505"/>
    <w:rsid w:val="00512B6C"/>
    <w:rsid w:val="00513E63"/>
    <w:rsid w:val="00516F60"/>
    <w:rsid w:val="00521604"/>
    <w:rsid w:val="00524886"/>
    <w:rsid w:val="00525720"/>
    <w:rsid w:val="005300D5"/>
    <w:rsid w:val="005312F5"/>
    <w:rsid w:val="00535FCD"/>
    <w:rsid w:val="005410A8"/>
    <w:rsid w:val="00541321"/>
    <w:rsid w:val="005424C2"/>
    <w:rsid w:val="00543277"/>
    <w:rsid w:val="00543BAD"/>
    <w:rsid w:val="00545A37"/>
    <w:rsid w:val="00550D0B"/>
    <w:rsid w:val="00552A2D"/>
    <w:rsid w:val="00555161"/>
    <w:rsid w:val="00562952"/>
    <w:rsid w:val="00562EE5"/>
    <w:rsid w:val="00563CE9"/>
    <w:rsid w:val="005665BF"/>
    <w:rsid w:val="00566665"/>
    <w:rsid w:val="00566BAA"/>
    <w:rsid w:val="00570F96"/>
    <w:rsid w:val="00571736"/>
    <w:rsid w:val="005802AC"/>
    <w:rsid w:val="00587DDA"/>
    <w:rsid w:val="0059539E"/>
    <w:rsid w:val="0059693A"/>
    <w:rsid w:val="005A148C"/>
    <w:rsid w:val="005A156A"/>
    <w:rsid w:val="005A6326"/>
    <w:rsid w:val="005B458E"/>
    <w:rsid w:val="005B5392"/>
    <w:rsid w:val="005B60BB"/>
    <w:rsid w:val="005B6A0C"/>
    <w:rsid w:val="005C51B5"/>
    <w:rsid w:val="005C5C91"/>
    <w:rsid w:val="005C68DE"/>
    <w:rsid w:val="005D0815"/>
    <w:rsid w:val="005D09B1"/>
    <w:rsid w:val="005D3C28"/>
    <w:rsid w:val="005D52D0"/>
    <w:rsid w:val="005E3F68"/>
    <w:rsid w:val="005F1C39"/>
    <w:rsid w:val="005F65E4"/>
    <w:rsid w:val="005F760D"/>
    <w:rsid w:val="005F7BCD"/>
    <w:rsid w:val="006009B0"/>
    <w:rsid w:val="00603684"/>
    <w:rsid w:val="00610AC7"/>
    <w:rsid w:val="00614871"/>
    <w:rsid w:val="00615CB5"/>
    <w:rsid w:val="00620E25"/>
    <w:rsid w:val="00622FA1"/>
    <w:rsid w:val="006262D8"/>
    <w:rsid w:val="00627B74"/>
    <w:rsid w:val="00631335"/>
    <w:rsid w:val="00634003"/>
    <w:rsid w:val="0064328F"/>
    <w:rsid w:val="00643473"/>
    <w:rsid w:val="00643E41"/>
    <w:rsid w:val="00651FA8"/>
    <w:rsid w:val="006548BC"/>
    <w:rsid w:val="00655527"/>
    <w:rsid w:val="0065683E"/>
    <w:rsid w:val="00656932"/>
    <w:rsid w:val="00663306"/>
    <w:rsid w:val="0066741F"/>
    <w:rsid w:val="006845FB"/>
    <w:rsid w:val="006866FC"/>
    <w:rsid w:val="00687B59"/>
    <w:rsid w:val="006908BA"/>
    <w:rsid w:val="00691462"/>
    <w:rsid w:val="0069304E"/>
    <w:rsid w:val="00696B8F"/>
    <w:rsid w:val="006A3536"/>
    <w:rsid w:val="006A420F"/>
    <w:rsid w:val="006A4448"/>
    <w:rsid w:val="006A7402"/>
    <w:rsid w:val="006A757E"/>
    <w:rsid w:val="006B0B86"/>
    <w:rsid w:val="006B1F26"/>
    <w:rsid w:val="006B2B2D"/>
    <w:rsid w:val="006B5C77"/>
    <w:rsid w:val="006B6F69"/>
    <w:rsid w:val="006C328D"/>
    <w:rsid w:val="006C35D1"/>
    <w:rsid w:val="006C5AC7"/>
    <w:rsid w:val="006D17A1"/>
    <w:rsid w:val="006D257A"/>
    <w:rsid w:val="006D3402"/>
    <w:rsid w:val="006D4AA5"/>
    <w:rsid w:val="006E2FD2"/>
    <w:rsid w:val="006E3AA7"/>
    <w:rsid w:val="006F47EA"/>
    <w:rsid w:val="006F79B0"/>
    <w:rsid w:val="00703153"/>
    <w:rsid w:val="00703469"/>
    <w:rsid w:val="00703B30"/>
    <w:rsid w:val="007121BF"/>
    <w:rsid w:val="00713B43"/>
    <w:rsid w:val="007148AD"/>
    <w:rsid w:val="0072176E"/>
    <w:rsid w:val="00726CC7"/>
    <w:rsid w:val="00727494"/>
    <w:rsid w:val="00733596"/>
    <w:rsid w:val="00734B93"/>
    <w:rsid w:val="00743092"/>
    <w:rsid w:val="00745B64"/>
    <w:rsid w:val="00754FB9"/>
    <w:rsid w:val="007555B4"/>
    <w:rsid w:val="0076372D"/>
    <w:rsid w:val="00770C2B"/>
    <w:rsid w:val="00772E72"/>
    <w:rsid w:val="007754D0"/>
    <w:rsid w:val="00775BD2"/>
    <w:rsid w:val="007760B8"/>
    <w:rsid w:val="00776648"/>
    <w:rsid w:val="00781191"/>
    <w:rsid w:val="007822F4"/>
    <w:rsid w:val="0078629A"/>
    <w:rsid w:val="007920C2"/>
    <w:rsid w:val="00792976"/>
    <w:rsid w:val="007937A2"/>
    <w:rsid w:val="00793A7D"/>
    <w:rsid w:val="007952AF"/>
    <w:rsid w:val="0079772F"/>
    <w:rsid w:val="007B01C8"/>
    <w:rsid w:val="007B13B9"/>
    <w:rsid w:val="007B36ED"/>
    <w:rsid w:val="007B4E65"/>
    <w:rsid w:val="007B7234"/>
    <w:rsid w:val="007B77C7"/>
    <w:rsid w:val="007C32EE"/>
    <w:rsid w:val="007C4501"/>
    <w:rsid w:val="007D0BD3"/>
    <w:rsid w:val="007D115E"/>
    <w:rsid w:val="007D4F47"/>
    <w:rsid w:val="007D51C7"/>
    <w:rsid w:val="007D73D7"/>
    <w:rsid w:val="007E34B7"/>
    <w:rsid w:val="007F00B4"/>
    <w:rsid w:val="007F1250"/>
    <w:rsid w:val="007F12EC"/>
    <w:rsid w:val="007F3A02"/>
    <w:rsid w:val="007F3D0D"/>
    <w:rsid w:val="007F59E6"/>
    <w:rsid w:val="007F78F7"/>
    <w:rsid w:val="00801A19"/>
    <w:rsid w:val="008053FE"/>
    <w:rsid w:val="00805B6F"/>
    <w:rsid w:val="00807BDA"/>
    <w:rsid w:val="008109BC"/>
    <w:rsid w:val="00813DF0"/>
    <w:rsid w:val="00817324"/>
    <w:rsid w:val="00817F9A"/>
    <w:rsid w:val="00823257"/>
    <w:rsid w:val="00833CA3"/>
    <w:rsid w:val="008352DD"/>
    <w:rsid w:val="00836815"/>
    <w:rsid w:val="00837FCD"/>
    <w:rsid w:val="008440B1"/>
    <w:rsid w:val="00844B90"/>
    <w:rsid w:val="00844EE8"/>
    <w:rsid w:val="008458ED"/>
    <w:rsid w:val="00853F0B"/>
    <w:rsid w:val="00854F82"/>
    <w:rsid w:val="00855823"/>
    <w:rsid w:val="00855952"/>
    <w:rsid w:val="0086426F"/>
    <w:rsid w:val="008709DD"/>
    <w:rsid w:val="008724D7"/>
    <w:rsid w:val="00880DE1"/>
    <w:rsid w:val="00880FD1"/>
    <w:rsid w:val="00883173"/>
    <w:rsid w:val="008903F9"/>
    <w:rsid w:val="00893420"/>
    <w:rsid w:val="008936AF"/>
    <w:rsid w:val="008A1197"/>
    <w:rsid w:val="008A2F33"/>
    <w:rsid w:val="008A781D"/>
    <w:rsid w:val="008B103A"/>
    <w:rsid w:val="008B2322"/>
    <w:rsid w:val="008C08FB"/>
    <w:rsid w:val="008C40F1"/>
    <w:rsid w:val="008C41AF"/>
    <w:rsid w:val="008C64D2"/>
    <w:rsid w:val="008C6E4F"/>
    <w:rsid w:val="008C7FA0"/>
    <w:rsid w:val="008D0E95"/>
    <w:rsid w:val="008D0EB4"/>
    <w:rsid w:val="008D57F8"/>
    <w:rsid w:val="008D70F2"/>
    <w:rsid w:val="008E5438"/>
    <w:rsid w:val="008F0AA3"/>
    <w:rsid w:val="008F4CD9"/>
    <w:rsid w:val="008F69F3"/>
    <w:rsid w:val="009005F7"/>
    <w:rsid w:val="0090146D"/>
    <w:rsid w:val="00903D86"/>
    <w:rsid w:val="0090478F"/>
    <w:rsid w:val="009062B6"/>
    <w:rsid w:val="0091057A"/>
    <w:rsid w:val="00912B44"/>
    <w:rsid w:val="00913295"/>
    <w:rsid w:val="009136B7"/>
    <w:rsid w:val="00922B59"/>
    <w:rsid w:val="00923803"/>
    <w:rsid w:val="00923EF5"/>
    <w:rsid w:val="00924600"/>
    <w:rsid w:val="00927768"/>
    <w:rsid w:val="00931BE8"/>
    <w:rsid w:val="00931CA4"/>
    <w:rsid w:val="00933C31"/>
    <w:rsid w:val="00936151"/>
    <w:rsid w:val="0093760C"/>
    <w:rsid w:val="00941152"/>
    <w:rsid w:val="00945C71"/>
    <w:rsid w:val="00953EAD"/>
    <w:rsid w:val="00956850"/>
    <w:rsid w:val="00960383"/>
    <w:rsid w:val="00962BC8"/>
    <w:rsid w:val="00964E4D"/>
    <w:rsid w:val="00970CE3"/>
    <w:rsid w:val="00975A20"/>
    <w:rsid w:val="00981786"/>
    <w:rsid w:val="00984790"/>
    <w:rsid w:val="0098750C"/>
    <w:rsid w:val="00990AF5"/>
    <w:rsid w:val="00995E51"/>
    <w:rsid w:val="00996534"/>
    <w:rsid w:val="009973AC"/>
    <w:rsid w:val="009A10F5"/>
    <w:rsid w:val="009A1C01"/>
    <w:rsid w:val="009A56DC"/>
    <w:rsid w:val="009A75CC"/>
    <w:rsid w:val="009B2881"/>
    <w:rsid w:val="009B395B"/>
    <w:rsid w:val="009B42BB"/>
    <w:rsid w:val="009B4C7E"/>
    <w:rsid w:val="009B75DC"/>
    <w:rsid w:val="009B769E"/>
    <w:rsid w:val="009C2BE6"/>
    <w:rsid w:val="009C3DAC"/>
    <w:rsid w:val="009C5126"/>
    <w:rsid w:val="009C6277"/>
    <w:rsid w:val="009C63DC"/>
    <w:rsid w:val="009D3138"/>
    <w:rsid w:val="009D53A7"/>
    <w:rsid w:val="009D64A4"/>
    <w:rsid w:val="009D71C7"/>
    <w:rsid w:val="009D7BF3"/>
    <w:rsid w:val="009D7F26"/>
    <w:rsid w:val="009E034B"/>
    <w:rsid w:val="009E12C9"/>
    <w:rsid w:val="009E4A33"/>
    <w:rsid w:val="009E73BE"/>
    <w:rsid w:val="009F5594"/>
    <w:rsid w:val="009F5D9A"/>
    <w:rsid w:val="00A02574"/>
    <w:rsid w:val="00A02CF3"/>
    <w:rsid w:val="00A05020"/>
    <w:rsid w:val="00A0583F"/>
    <w:rsid w:val="00A103B4"/>
    <w:rsid w:val="00A158E8"/>
    <w:rsid w:val="00A20C23"/>
    <w:rsid w:val="00A211EA"/>
    <w:rsid w:val="00A21EC6"/>
    <w:rsid w:val="00A25716"/>
    <w:rsid w:val="00A43EC1"/>
    <w:rsid w:val="00A4586F"/>
    <w:rsid w:val="00A52DE7"/>
    <w:rsid w:val="00A53E55"/>
    <w:rsid w:val="00A577B8"/>
    <w:rsid w:val="00A61FC6"/>
    <w:rsid w:val="00A6503F"/>
    <w:rsid w:val="00A65B7B"/>
    <w:rsid w:val="00A71D6B"/>
    <w:rsid w:val="00A72F35"/>
    <w:rsid w:val="00A74724"/>
    <w:rsid w:val="00A7712D"/>
    <w:rsid w:val="00A82FFC"/>
    <w:rsid w:val="00A9383E"/>
    <w:rsid w:val="00A9573C"/>
    <w:rsid w:val="00AA03FC"/>
    <w:rsid w:val="00AA3346"/>
    <w:rsid w:val="00AB5079"/>
    <w:rsid w:val="00AC0A72"/>
    <w:rsid w:val="00AC0C85"/>
    <w:rsid w:val="00AD0C68"/>
    <w:rsid w:val="00AD204E"/>
    <w:rsid w:val="00AD227D"/>
    <w:rsid w:val="00AD5166"/>
    <w:rsid w:val="00AD5366"/>
    <w:rsid w:val="00AD584F"/>
    <w:rsid w:val="00AD7F4E"/>
    <w:rsid w:val="00AE1FDB"/>
    <w:rsid w:val="00AE28ED"/>
    <w:rsid w:val="00AF028D"/>
    <w:rsid w:val="00AF21BB"/>
    <w:rsid w:val="00B03D26"/>
    <w:rsid w:val="00B07A9E"/>
    <w:rsid w:val="00B16252"/>
    <w:rsid w:val="00B21B26"/>
    <w:rsid w:val="00B26FB9"/>
    <w:rsid w:val="00B32128"/>
    <w:rsid w:val="00B329B4"/>
    <w:rsid w:val="00B3402D"/>
    <w:rsid w:val="00B37A5B"/>
    <w:rsid w:val="00B413CE"/>
    <w:rsid w:val="00B4364A"/>
    <w:rsid w:val="00B43705"/>
    <w:rsid w:val="00B44923"/>
    <w:rsid w:val="00B44995"/>
    <w:rsid w:val="00B4578F"/>
    <w:rsid w:val="00B51EEF"/>
    <w:rsid w:val="00B53A98"/>
    <w:rsid w:val="00B53CB2"/>
    <w:rsid w:val="00B556BD"/>
    <w:rsid w:val="00B65F2D"/>
    <w:rsid w:val="00B67858"/>
    <w:rsid w:val="00B7099C"/>
    <w:rsid w:val="00B71DA1"/>
    <w:rsid w:val="00B72B92"/>
    <w:rsid w:val="00B733BE"/>
    <w:rsid w:val="00B74B27"/>
    <w:rsid w:val="00B759C1"/>
    <w:rsid w:val="00B76C27"/>
    <w:rsid w:val="00B77BDC"/>
    <w:rsid w:val="00B8295E"/>
    <w:rsid w:val="00B8358B"/>
    <w:rsid w:val="00B8518D"/>
    <w:rsid w:val="00B85AEE"/>
    <w:rsid w:val="00B94827"/>
    <w:rsid w:val="00BA369E"/>
    <w:rsid w:val="00BA674C"/>
    <w:rsid w:val="00BA6E2F"/>
    <w:rsid w:val="00BB040F"/>
    <w:rsid w:val="00BB3939"/>
    <w:rsid w:val="00BB532F"/>
    <w:rsid w:val="00BC0014"/>
    <w:rsid w:val="00BC073D"/>
    <w:rsid w:val="00BD0C2A"/>
    <w:rsid w:val="00BD2C7B"/>
    <w:rsid w:val="00BD3B29"/>
    <w:rsid w:val="00BD54F9"/>
    <w:rsid w:val="00BE09FA"/>
    <w:rsid w:val="00BE22D8"/>
    <w:rsid w:val="00BE287E"/>
    <w:rsid w:val="00BF0FB6"/>
    <w:rsid w:val="00BF460D"/>
    <w:rsid w:val="00BF607D"/>
    <w:rsid w:val="00C02630"/>
    <w:rsid w:val="00C026A8"/>
    <w:rsid w:val="00C061FC"/>
    <w:rsid w:val="00C06C40"/>
    <w:rsid w:val="00C10712"/>
    <w:rsid w:val="00C1204D"/>
    <w:rsid w:val="00C12696"/>
    <w:rsid w:val="00C14D46"/>
    <w:rsid w:val="00C15F95"/>
    <w:rsid w:val="00C24719"/>
    <w:rsid w:val="00C3076E"/>
    <w:rsid w:val="00C33D87"/>
    <w:rsid w:val="00C347B4"/>
    <w:rsid w:val="00C41185"/>
    <w:rsid w:val="00C41AA7"/>
    <w:rsid w:val="00C46CBF"/>
    <w:rsid w:val="00C52982"/>
    <w:rsid w:val="00C52D40"/>
    <w:rsid w:val="00C52E00"/>
    <w:rsid w:val="00C54755"/>
    <w:rsid w:val="00C565B3"/>
    <w:rsid w:val="00C6109E"/>
    <w:rsid w:val="00C65006"/>
    <w:rsid w:val="00C65E91"/>
    <w:rsid w:val="00C66C0D"/>
    <w:rsid w:val="00C757C6"/>
    <w:rsid w:val="00C77147"/>
    <w:rsid w:val="00C8002C"/>
    <w:rsid w:val="00C81362"/>
    <w:rsid w:val="00C820D0"/>
    <w:rsid w:val="00C82945"/>
    <w:rsid w:val="00C8318A"/>
    <w:rsid w:val="00C84D83"/>
    <w:rsid w:val="00C87D84"/>
    <w:rsid w:val="00C92E33"/>
    <w:rsid w:val="00C95EAF"/>
    <w:rsid w:val="00CA0240"/>
    <w:rsid w:val="00CA06A2"/>
    <w:rsid w:val="00CA6BBF"/>
    <w:rsid w:val="00CB19E1"/>
    <w:rsid w:val="00CB6C8E"/>
    <w:rsid w:val="00CB7977"/>
    <w:rsid w:val="00CC128F"/>
    <w:rsid w:val="00CC13B7"/>
    <w:rsid w:val="00CC15CB"/>
    <w:rsid w:val="00CC1AD5"/>
    <w:rsid w:val="00CD0D81"/>
    <w:rsid w:val="00CD2CED"/>
    <w:rsid w:val="00CD32F7"/>
    <w:rsid w:val="00CD70AF"/>
    <w:rsid w:val="00CD7E6E"/>
    <w:rsid w:val="00CE0F8D"/>
    <w:rsid w:val="00CE27CE"/>
    <w:rsid w:val="00CE2DB2"/>
    <w:rsid w:val="00CE46E5"/>
    <w:rsid w:val="00CE56E5"/>
    <w:rsid w:val="00CE69EE"/>
    <w:rsid w:val="00CE6EC2"/>
    <w:rsid w:val="00CE7015"/>
    <w:rsid w:val="00CF0246"/>
    <w:rsid w:val="00CF0DFE"/>
    <w:rsid w:val="00CF0F9B"/>
    <w:rsid w:val="00D00F07"/>
    <w:rsid w:val="00D00FC0"/>
    <w:rsid w:val="00D045E4"/>
    <w:rsid w:val="00D062E8"/>
    <w:rsid w:val="00D16283"/>
    <w:rsid w:val="00D16F4C"/>
    <w:rsid w:val="00D17090"/>
    <w:rsid w:val="00D213BA"/>
    <w:rsid w:val="00D2492F"/>
    <w:rsid w:val="00D24F75"/>
    <w:rsid w:val="00D2650E"/>
    <w:rsid w:val="00D267A4"/>
    <w:rsid w:val="00D278B6"/>
    <w:rsid w:val="00D30406"/>
    <w:rsid w:val="00D36A74"/>
    <w:rsid w:val="00D37DA5"/>
    <w:rsid w:val="00D410F0"/>
    <w:rsid w:val="00D4122A"/>
    <w:rsid w:val="00D4364F"/>
    <w:rsid w:val="00D44124"/>
    <w:rsid w:val="00D5238A"/>
    <w:rsid w:val="00D55511"/>
    <w:rsid w:val="00D571D4"/>
    <w:rsid w:val="00D608F1"/>
    <w:rsid w:val="00D6699F"/>
    <w:rsid w:val="00D72C52"/>
    <w:rsid w:val="00D73D2C"/>
    <w:rsid w:val="00D76C7F"/>
    <w:rsid w:val="00D779DE"/>
    <w:rsid w:val="00D812CC"/>
    <w:rsid w:val="00D8448C"/>
    <w:rsid w:val="00D85C53"/>
    <w:rsid w:val="00D865A4"/>
    <w:rsid w:val="00D8670F"/>
    <w:rsid w:val="00D87C67"/>
    <w:rsid w:val="00D90AC1"/>
    <w:rsid w:val="00D91C3A"/>
    <w:rsid w:val="00D94E92"/>
    <w:rsid w:val="00D95764"/>
    <w:rsid w:val="00D95877"/>
    <w:rsid w:val="00D97D79"/>
    <w:rsid w:val="00D97FAA"/>
    <w:rsid w:val="00DA077B"/>
    <w:rsid w:val="00DA165B"/>
    <w:rsid w:val="00DA659D"/>
    <w:rsid w:val="00DA7E28"/>
    <w:rsid w:val="00DB528B"/>
    <w:rsid w:val="00DB55A1"/>
    <w:rsid w:val="00DB6172"/>
    <w:rsid w:val="00DC0F96"/>
    <w:rsid w:val="00DC2CF5"/>
    <w:rsid w:val="00DC4005"/>
    <w:rsid w:val="00DC4422"/>
    <w:rsid w:val="00DD0218"/>
    <w:rsid w:val="00DD1115"/>
    <w:rsid w:val="00DD5042"/>
    <w:rsid w:val="00DD6587"/>
    <w:rsid w:val="00DE0420"/>
    <w:rsid w:val="00DE3ABE"/>
    <w:rsid w:val="00DE633F"/>
    <w:rsid w:val="00DE71D8"/>
    <w:rsid w:val="00DF03D7"/>
    <w:rsid w:val="00DF18A0"/>
    <w:rsid w:val="00DF342B"/>
    <w:rsid w:val="00E0170A"/>
    <w:rsid w:val="00E03EB9"/>
    <w:rsid w:val="00E04008"/>
    <w:rsid w:val="00E04924"/>
    <w:rsid w:val="00E05BCD"/>
    <w:rsid w:val="00E060F7"/>
    <w:rsid w:val="00E14487"/>
    <w:rsid w:val="00E203D3"/>
    <w:rsid w:val="00E218A3"/>
    <w:rsid w:val="00E23D1A"/>
    <w:rsid w:val="00E25C65"/>
    <w:rsid w:val="00E25DEF"/>
    <w:rsid w:val="00E2779C"/>
    <w:rsid w:val="00E30410"/>
    <w:rsid w:val="00E30593"/>
    <w:rsid w:val="00E33109"/>
    <w:rsid w:val="00E338C7"/>
    <w:rsid w:val="00E44DF5"/>
    <w:rsid w:val="00E462BB"/>
    <w:rsid w:val="00E46422"/>
    <w:rsid w:val="00E47080"/>
    <w:rsid w:val="00E475D6"/>
    <w:rsid w:val="00E537A2"/>
    <w:rsid w:val="00E55413"/>
    <w:rsid w:val="00E5586B"/>
    <w:rsid w:val="00E55D63"/>
    <w:rsid w:val="00E6213D"/>
    <w:rsid w:val="00E626C9"/>
    <w:rsid w:val="00E644A8"/>
    <w:rsid w:val="00E66AE9"/>
    <w:rsid w:val="00E71234"/>
    <w:rsid w:val="00E718D5"/>
    <w:rsid w:val="00E75509"/>
    <w:rsid w:val="00E823FA"/>
    <w:rsid w:val="00E8322A"/>
    <w:rsid w:val="00E86881"/>
    <w:rsid w:val="00E90A04"/>
    <w:rsid w:val="00E90C6F"/>
    <w:rsid w:val="00E93A2B"/>
    <w:rsid w:val="00E9410F"/>
    <w:rsid w:val="00EA3ED9"/>
    <w:rsid w:val="00EA4137"/>
    <w:rsid w:val="00EA4D67"/>
    <w:rsid w:val="00EA5E0B"/>
    <w:rsid w:val="00EA69A0"/>
    <w:rsid w:val="00EA791B"/>
    <w:rsid w:val="00EB0563"/>
    <w:rsid w:val="00EB2087"/>
    <w:rsid w:val="00EC1846"/>
    <w:rsid w:val="00EC4A0B"/>
    <w:rsid w:val="00EC57AF"/>
    <w:rsid w:val="00EC5DD6"/>
    <w:rsid w:val="00EC632F"/>
    <w:rsid w:val="00EC7DC7"/>
    <w:rsid w:val="00ED2C0D"/>
    <w:rsid w:val="00ED6B47"/>
    <w:rsid w:val="00ED7DC8"/>
    <w:rsid w:val="00EE0396"/>
    <w:rsid w:val="00EE0522"/>
    <w:rsid w:val="00EE1778"/>
    <w:rsid w:val="00EE2440"/>
    <w:rsid w:val="00EE2B40"/>
    <w:rsid w:val="00EE375E"/>
    <w:rsid w:val="00EE3BF8"/>
    <w:rsid w:val="00EE7DAD"/>
    <w:rsid w:val="00EF4773"/>
    <w:rsid w:val="00EF4D66"/>
    <w:rsid w:val="00EF7145"/>
    <w:rsid w:val="00EF7220"/>
    <w:rsid w:val="00EF72F8"/>
    <w:rsid w:val="00EF7B13"/>
    <w:rsid w:val="00F022D5"/>
    <w:rsid w:val="00F02D59"/>
    <w:rsid w:val="00F0763F"/>
    <w:rsid w:val="00F10BC5"/>
    <w:rsid w:val="00F14CCE"/>
    <w:rsid w:val="00F15AFA"/>
    <w:rsid w:val="00F15E29"/>
    <w:rsid w:val="00F16CF6"/>
    <w:rsid w:val="00F17802"/>
    <w:rsid w:val="00F17F86"/>
    <w:rsid w:val="00F20CC8"/>
    <w:rsid w:val="00F20E6C"/>
    <w:rsid w:val="00F21BF2"/>
    <w:rsid w:val="00F21C3A"/>
    <w:rsid w:val="00F21FC0"/>
    <w:rsid w:val="00F22638"/>
    <w:rsid w:val="00F30CB3"/>
    <w:rsid w:val="00F400FF"/>
    <w:rsid w:val="00F416B7"/>
    <w:rsid w:val="00F42599"/>
    <w:rsid w:val="00F4267B"/>
    <w:rsid w:val="00F428FA"/>
    <w:rsid w:val="00F452C3"/>
    <w:rsid w:val="00F469C0"/>
    <w:rsid w:val="00F4712B"/>
    <w:rsid w:val="00F50823"/>
    <w:rsid w:val="00F539B4"/>
    <w:rsid w:val="00F5728C"/>
    <w:rsid w:val="00F61176"/>
    <w:rsid w:val="00F64126"/>
    <w:rsid w:val="00F67EE5"/>
    <w:rsid w:val="00F710C2"/>
    <w:rsid w:val="00F77ACD"/>
    <w:rsid w:val="00F83297"/>
    <w:rsid w:val="00F90363"/>
    <w:rsid w:val="00F90AEC"/>
    <w:rsid w:val="00F92E22"/>
    <w:rsid w:val="00F96613"/>
    <w:rsid w:val="00F96D7E"/>
    <w:rsid w:val="00F97636"/>
    <w:rsid w:val="00FA3577"/>
    <w:rsid w:val="00FA382F"/>
    <w:rsid w:val="00FB1EC7"/>
    <w:rsid w:val="00FB2A6C"/>
    <w:rsid w:val="00FB2B29"/>
    <w:rsid w:val="00FC38AD"/>
    <w:rsid w:val="00FC48BF"/>
    <w:rsid w:val="00FC7686"/>
    <w:rsid w:val="00FD03B6"/>
    <w:rsid w:val="00FD04A4"/>
    <w:rsid w:val="00FD0682"/>
    <w:rsid w:val="00FD1349"/>
    <w:rsid w:val="00FD4B09"/>
    <w:rsid w:val="00FD5531"/>
    <w:rsid w:val="00FD5F80"/>
    <w:rsid w:val="00FD6737"/>
    <w:rsid w:val="00FE052E"/>
    <w:rsid w:val="00FE77D4"/>
    <w:rsid w:val="00FF2540"/>
    <w:rsid w:val="00FF70B7"/>
    <w:rsid w:val="5EC3F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2"/>
    </o:shapelayout>
  </w:shapeDefaults>
  <w:decimalSymbol w:val="."/>
  <w:listSeparator w:val=","/>
  <w14:docId w14:val="58D4F460"/>
  <w15:docId w15:val="{479BCE6D-581E-42FB-B3D6-B0D7BF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36"/>
      </w:numPr>
    </w:pPr>
  </w:style>
  <w:style w:type="paragraph" w:customStyle="1" w:styleId="Bullet2">
    <w:name w:val="Bullet 2"/>
    <w:basedOn w:val="Normal"/>
    <w:uiPriority w:val="2"/>
    <w:qFormat/>
    <w:rsid w:val="00990AF5"/>
    <w:pPr>
      <w:numPr>
        <w:ilvl w:val="1"/>
        <w:numId w:val="38"/>
      </w:numPr>
    </w:pPr>
  </w:style>
  <w:style w:type="paragraph" w:customStyle="1" w:styleId="Bullet3">
    <w:name w:val="Bullet 3"/>
    <w:basedOn w:val="Normal"/>
    <w:uiPriority w:val="2"/>
    <w:qFormat/>
    <w:rsid w:val="00990AF5"/>
    <w:pPr>
      <w:numPr>
        <w:ilvl w:val="2"/>
        <w:numId w:val="38"/>
      </w:numPr>
    </w:pPr>
  </w:style>
  <w:style w:type="paragraph" w:customStyle="1" w:styleId="FigureTitle">
    <w:name w:val="Figure Title"/>
    <w:basedOn w:val="Normal"/>
    <w:uiPriority w:val="12"/>
    <w:qFormat/>
    <w:rsid w:val="00177956"/>
    <w:pPr>
      <w:keepNext/>
      <w:numPr>
        <w:numId w:val="48"/>
      </w:numPr>
      <w:spacing w:before="240"/>
    </w:pPr>
    <w:rPr>
      <w:rFonts w:asciiTheme="majorHAnsi" w:hAnsiTheme="majorHAnsi"/>
      <w:color w:val="004E7D"/>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3"/>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205331"/>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f.edu.au/publication/proportion-components-qualification-leve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C00105/Html/Tex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63AF37CA3B51428CD9C68A4D71EEA0" ma:contentTypeVersion="25" ma:contentTypeDescription="Create a new document." ma:contentTypeScope="" ma:versionID="377eb8b9416920ed01e4e15395c8ec1f">
  <xsd:schema xmlns:xsd="http://www.w3.org/2001/XMLSchema" xmlns:xs="http://www.w3.org/2001/XMLSchema" xmlns:p="http://schemas.microsoft.com/office/2006/metadata/properties" xmlns:ns2="292dd51f-c3e5-45fb-bb52-f0a96cb7d027" xmlns:ns3="83929e38-55be-4b09-962a-7a6393de1361" targetNamespace="http://schemas.microsoft.com/office/2006/metadata/properties" ma:root="true" ma:fieldsID="13dc74ee2261159015a247f172f068ae" ns2:_="" ns3:_="">
    <xsd:import namespace="292dd51f-c3e5-45fb-bb52-f0a96cb7d027"/>
    <xsd:import namespace="83929e38-55be-4b09-962a-7a6393de1361"/>
    <xsd:element name="properties">
      <xsd:complexType>
        <xsd:sequence>
          <xsd:element name="documentManagement">
            <xsd:complexType>
              <xsd:all>
                <xsd:element ref="ns2:Category" minOccurs="0"/>
                <xsd:element ref="ns2:Status" minOccurs="0"/>
                <xsd:element ref="ns2:Assignedto" minOccurs="0"/>
                <xsd:element ref="ns2:ContextualStatus" minOccurs="0"/>
                <xsd:element ref="ns2:GuidanceNote" minOccurs="0"/>
                <xsd:element ref="ns2:_Flow_SignoffStatus" minOccurs="0"/>
                <xsd:element ref="ns2:Date" minOccurs="0"/>
                <xsd:element ref="ns3:TaxCatchAll" minOccurs="0"/>
                <xsd:element ref="ns2:j5c7243103eb4a8f8bdb102a5810412a" minOccurs="0"/>
                <xsd:element ref="ns2:lf00f7cae6154b588c712167af0e92c2" minOccurs="0"/>
                <xsd:element ref="ns2:MediaServiceMetadata" minOccurs="0"/>
                <xsd:element ref="ns2:MediaServiceFastMetadata" minOccurs="0"/>
                <xsd:element ref="ns3:SharedWithUsers" minOccurs="0"/>
                <xsd:element ref="ns3:SharedWithDetails" minOccurs="0"/>
                <xsd:element ref="ns2:p2841a2f4f0e46edb9ade446fe7c03eb" minOccurs="0"/>
                <xsd:element ref="ns2:DocumentDate" minOccurs="0"/>
                <xsd:element ref="ns2:MediaServiceObjectDetectorVersion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d51f-c3e5-45fb-bb52-f0a96cb7d027"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ma:readOnly="false">
      <xsd:simpleType>
        <xsd:restriction base="dms:Choice">
          <xsd:enumeration value="Analysis"/>
          <xsd:enumeration value="Commission Brief"/>
          <xsd:enumeration value="Commission Notes"/>
          <xsd:enumeration value="ELT Brief"/>
          <xsd:enumeration value="External Consultation"/>
          <xsd:enumeration value="External Correspondence"/>
          <xsd:enumeration value="External Resources"/>
          <xsd:enumeration value="Guidance"/>
          <xsd:enumeration value="Internal Consultation"/>
          <xsd:enumeration value="Media"/>
          <xsd:enumeration value="Meeting Notes"/>
          <xsd:enumeration value="Project plans"/>
          <xsd:enumeration value="Reports"/>
          <xsd:enumeration value="Research"/>
          <xsd:enumeration value="Webinars"/>
          <xsd:enumeration value="Presentations"/>
        </xsd:restriction>
      </xsd:simpleType>
    </xsd:element>
    <xsd:element name="Status" ma:index="4" nillable="true" ma:displayName="Status" ma:default="Draft" ma:format="Dropdown" ma:internalName="Status" ma:readOnly="false">
      <xsd:simpleType>
        <xsd:restriction base="dms:Choice">
          <xsd:enumeration value="Draft"/>
          <xsd:enumeration value="Final"/>
          <xsd:enumeration value="Published"/>
        </xsd:restriction>
      </xsd:simpleType>
    </xsd:element>
    <xsd:element name="Assignedto" ma:index="5" nillable="true" ma:displayName="Assigned to" ma:description="Officer who is assigned the task" ma:format="Dropdown" ma:internalName="Assignedto" ma:readOnly="false">
      <xsd:simpleType>
        <xsd:restriction base="dms:Choice">
          <xsd:enumeration value="Graem"/>
          <xsd:enumeration value="Rodny"/>
          <xsd:enumeration value="Ben"/>
          <xsd:enumeration value="Complete"/>
          <xsd:enumeration value="Unassigned"/>
        </xsd:restriction>
      </xsd:simpleType>
    </xsd:element>
    <xsd:element name="ContextualStatus" ma:index="6" nillable="true" ma:displayName="Contextual Status" ma:description="Additional Contextual Status" ma:format="Dropdown" ma:internalName="ContextualStatus" ma:readOnly="false">
      <xsd:simpleType>
        <xsd:restriction base="dms:Choice">
          <xsd:enumeration value="Initial Drafting"/>
          <xsd:enumeration value="Ready for Consultation (internal)"/>
          <xsd:enumeration value="Internal Consultation (waiting)"/>
          <xsd:enumeration value="Internally Consulted"/>
          <xsd:enumeration value="Commission first review"/>
          <xsd:enumeration value="Incorp First Commission Feedback"/>
          <xsd:enumeration value="Ready for Consultation (external)"/>
          <xsd:enumeration value="External Consultation (waiting)"/>
          <xsd:enumeration value="Externally Consulted"/>
          <xsd:enumeration value="Commission final review"/>
          <xsd:enumeration value="Complete"/>
          <xsd:enumeration value="Ready for publication"/>
        </xsd:restriction>
      </xsd:simpleType>
    </xsd:element>
    <xsd:element name="GuidanceNote" ma:index="7" nillable="true" ma:displayName="Guidance Note" ma:description="The Guidance Note the document relates to." ma:format="Dropdown" ma:internalName="GuidanceNote">
      <xsd:simpleType>
        <xsd:restriction base="dms:Choice">
          <xsd:enumeration value="Definition - Active in Research"/>
          <xsd:enumeration value="Corporate Monitoring and Accountability"/>
          <xsd:enumeration value="Corporate Governance"/>
          <xsd:enumeration value="Course Approval and Accreditation"/>
          <xsd:enumeration value="Information Management"/>
          <xsd:enumeration value="Orientation and progression"/>
          <xsd:enumeration value="Qualifications and certification"/>
          <xsd:enumeration value="Student Grievances and Complaints"/>
          <xsd:enumeration value="Academic Governance"/>
          <xsd:enumeration value="Student Wellbeing and Safety"/>
          <xsd:enumeration value="Diversity and Equity"/>
          <xsd:enumeration value="Facilities and infrastructure"/>
          <xsd:enumeration value="Monitoring, Review and Improvement"/>
          <xsd:enumeration value="Representation"/>
          <xsd:enumeration value="Delivery with other parties"/>
          <xsd:enumeration value="Research Requirements for Aus Universities"/>
          <xsd:enumeration value="Research and Research Training"/>
          <xsd:enumeration value="Academic Governance"/>
          <xsd:enumeration value="Choice 19"/>
        </xsd:restriction>
      </xsd:simpleType>
    </xsd:element>
    <xsd:element name="_Flow_SignoffStatus" ma:index="8" nillable="true" ma:displayName="Sign-off status" ma:internalName="Sign_x002d_off_x0020_status" ma:readOnly="false">
      <xsd:simpleType>
        <xsd:restriction base="dms:Text"/>
      </xsd:simpleType>
    </xsd:element>
    <xsd:element name="Date" ma:index="9" nillable="true" ma:displayName="Date" ma:default="[today]" ma:format="DateOnly" ma:internalName="Date" ma:readOnly="false">
      <xsd:simpleType>
        <xsd:restriction base="dms:DateTime"/>
      </xsd:simpleType>
    </xsd:element>
    <xsd:element name="j5c7243103eb4a8f8bdb102a5810412a" ma:index="12" nillable="true" ma:taxonomy="true" ma:internalName="j5c7243103eb4a8f8bdb102a5810412a" ma:taxonomyFieldName="Activity_x0020_Name" ma:displayName="Activity Name" ma:readOnly="false" ma:default="2;#Projects|ea2fedc5-f041-4824-a983-f8f3eeeb6dfc"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2841a2f4f0e46edb9ade446fe7c03eb" ma:index="24" nillable="true" ma:taxonomy="true" ma:internalName="p2841a2f4f0e46edb9ade446fe7c03eb" ma:taxonomyFieldName="Function_x0020_Name" ma:displayName="Function Name" ma:readOnly="false" ma:default="1;#External Relations|8003538d-cbbc-40ec-a138-45260a67bcf5"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DocumentDate" ma:index="26" nillable="true" ma:displayName="Project End Date" ma:format="DateOnly" ma:hidden="true" ma:internalName="DocumentDate" ma:readOnly="fals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viewed" ma:index="28" nillable="true" ma:displayName="Reviewed" ma:format="Dropdown" ma:internalName="Reviewed">
      <xsd:simpleType>
        <xsd:restriction base="dms:Choice">
          <xsd:enumeration value="Reviewed "/>
          <xsd:enumeration value="Choice 2"/>
        </xsd:restriction>
      </xsd:simpleType>
    </xsd:element>
  </xsd:schema>
  <xsd:schema xmlns:xsd="http://www.w3.org/2001/XMLSchema" xmlns:xs="http://www.w3.org/2001/XMLSchema" xmlns:dms="http://schemas.microsoft.com/office/2006/documentManagement/types" xmlns:pc="http://schemas.microsoft.com/office/infopath/2007/PartnerControls" targetNamespace="83929e38-55be-4b09-962a-7a6393de1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4db1e4-8662-4c89-b91e-70a7b413135f}" ma:internalName="TaxCatchAll" ma:readOnly="false" ma:showField="CatchAllData" ma:web="83929e38-55be-4b09-962a-7a6393de1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3929e38-55be-4b09-962a-7a6393de1361">
      <Value>3</Value>
      <Value>2</Value>
      <Value>1</Value>
    </TaxCatchAll>
    <Status xmlns="292dd51f-c3e5-45fb-bb52-f0a96cb7d027">Draft</Status>
    <p2841a2f4f0e46edb9ade446fe7c03eb xmlns="292dd51f-c3e5-45fb-bb52-f0a96cb7d027">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8003538d-cbbc-40ec-a138-45260a67bcf5</TermId>
        </TermInfo>
      </Terms>
    </p2841a2f4f0e46edb9ade446fe7c03eb>
    <lf00f7cae6154b588c712167af0e92c2 xmlns="292dd51f-c3e5-45fb-bb52-f0a96cb7d027">
      <Terms xmlns="http://schemas.microsoft.com/office/infopath/2007/PartnerControls">
        <TermInfo xmlns="http://schemas.microsoft.com/office/infopath/2007/PartnerControls">
          <TermName xmlns="http://schemas.microsoft.com/office/infopath/2007/PartnerControls">Guidance Note</TermName>
          <TermId xmlns="http://schemas.microsoft.com/office/infopath/2007/PartnerControls">ebf409d7-0b48-4543-bcde-c43c4066fc8c</TermId>
        </TermInfo>
      </Terms>
    </lf00f7cae6154b588c712167af0e92c2>
    <Category xmlns="292dd51f-c3e5-45fb-bb52-f0a96cb7d027">Guidance</Category>
    <j5c7243103eb4a8f8bdb102a5810412a xmlns="292dd51f-c3e5-45fb-bb52-f0a96cb7d027">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ea2fedc5-f041-4824-a983-f8f3eeeb6dfc</TermId>
        </TermInfo>
      </Terms>
    </j5c7243103eb4a8f8bdb102a5810412a>
    <Assignedto xmlns="292dd51f-c3e5-45fb-bb52-f0a96cb7d027">Rodny</Assignedto>
    <ContextualStatus xmlns="292dd51f-c3e5-45fb-bb52-f0a96cb7d027">Ready for Consultation (external)</ContextualStatus>
    <_Flow_SignoffStatus xmlns="292dd51f-c3e5-45fb-bb52-f0a96cb7d027" xsi:nil="true"/>
    <DocumentDate xmlns="292dd51f-c3e5-45fb-bb52-f0a96cb7d027" xsi:nil="true"/>
    <GuidanceNote xmlns="292dd51f-c3e5-45fb-bb52-f0a96cb7d027" xsi:nil="true"/>
    <Date xmlns="292dd51f-c3e5-45fb-bb52-f0a96cb7d027">2023-06-08T01:34:19+00:00</Date>
    <Reviewed xmlns="292dd51f-c3e5-45fb-bb52-f0a96cb7d027" xsi:nil="true"/>
  </documentManagement>
</p:properties>
</file>

<file path=customXml/itemProps1.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2.xml><?xml version="1.0" encoding="utf-8"?>
<ds:datastoreItem xmlns:ds="http://schemas.openxmlformats.org/officeDocument/2006/customXml" ds:itemID="{38A84A08-3395-4B0A-B582-612C64966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d51f-c3e5-45fb-bb52-f0a96cb7d027"/>
    <ds:schemaRef ds:uri="83929e38-55be-4b09-962a-7a6393de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A82E1C12-8773-409A-B29D-4FC4E6BF5F01}">
  <ds:schemaRefs>
    <ds:schemaRef ds:uri="http://www.w3.org/XML/1998/namespace"/>
    <ds:schemaRef ds:uri="83929e38-55be-4b09-962a-7a6393de1361"/>
    <ds:schemaRef ds:uri="http://schemas.microsoft.com/office/2006/metadata/properties"/>
    <ds:schemaRef ds:uri="http://purl.org/dc/elements/1.1/"/>
    <ds:schemaRef ds:uri="http://schemas.microsoft.com/office/2006/documentManagement/types"/>
    <ds:schemaRef ds:uri="http://purl.org/dc/dcmitype/"/>
    <ds:schemaRef ds:uri="292dd51f-c3e5-45fb-bb52-f0a96cb7d027"/>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8280</Characters>
  <Application>Microsoft Office Word</Application>
  <DocSecurity>0</DocSecurity>
  <Lines>187</Lines>
  <Paragraphs>98</Paragraphs>
  <ScaleCrop>false</ScaleCrop>
  <Company>Tertiary Education Quality and Standards Agency</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 course design-GN-v2.4.docx</dc:title>
  <dc:creator>May, Raphael</dc:creator>
  <cp:keywords>[SEC=OFFICIAL]</cp:keywords>
  <cp:lastModifiedBy>Ben Schulz</cp:lastModifiedBy>
  <cp:revision>25</cp:revision>
  <cp:lastPrinted>2022-10-12T04:15:00Z</cp:lastPrinted>
  <dcterms:created xsi:type="dcterms:W3CDTF">2023-01-03T06:25:00Z</dcterms:created>
  <dcterms:modified xsi:type="dcterms:W3CDTF">2023-10-12T23:24:00Z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0x0101007D63AF37CA3B51428CD9C68A4D71EEA0</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v=2022.1;a=SHA256;h=298E749E579B111DCB14E49471CBF593657F00539C23D926B7633FF41524519A</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2023-10-12T23:20:58Z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B89BBE919A53A50A83F22EF524D7418BD26D804D</vt:lpwstr>
  </property>
  <property fmtid="{D5CDD505-2E9C-101B-9397-08002B2CF9AE}" pid="20" name="PM_DisplayValueSecClassificationWithQualifier">
    <vt:lpwstr>OFFICIAL</vt:lpwstr>
  </property>
  <property fmtid="{D5CDD505-2E9C-101B-9397-08002B2CF9AE}" pid="21" name="PM_Originating_FileId">
    <vt:lpwstr>B8171567AF0C44E28A63FE03F12C93C6</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D6FF5A89CC84E6B79CBA5322614F3A8B9C4D9522E8BF124D6E6F162613CEA200</vt:lpwstr>
  </property>
  <property fmtid="{D5CDD505-2E9C-101B-9397-08002B2CF9AE}" pid="27" name="PM_OriginatorDomainName_SHA256">
    <vt:lpwstr>0C3D4C92EC8F38444BA78741E5B5836F9817C3740155E164E6696E5C1131B3E3</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2B6F4BF107807D8D40D3F5F5AEB32701</vt:lpwstr>
  </property>
  <property fmtid="{D5CDD505-2E9C-101B-9397-08002B2CF9AE}" pid="31" name="PM_Hash_Salt">
    <vt:lpwstr>FAE02A3CDE1CA3C764D20459ADC4659E</vt:lpwstr>
  </property>
  <property fmtid="{D5CDD505-2E9C-101B-9397-08002B2CF9AE}" pid="32" name="PM_Hash_SHA1">
    <vt:lpwstr>DC3F76354F51B6EF310290D477754659C85B7E79</vt:lpwstr>
  </property>
</Properties>
</file>