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76C5" w14:textId="481E3A8A" w:rsidR="00B759C1" w:rsidRPr="00BE0F27" w:rsidRDefault="00CD74B3" w:rsidP="000377FF">
      <w:pPr>
        <w:pStyle w:val="Heading1"/>
        <w:spacing w:after="0"/>
        <w:rPr>
          <w:iCs/>
          <w:noProof/>
        </w:rPr>
      </w:pPr>
      <w:r w:rsidRPr="00BE0F27">
        <w:rPr>
          <w:iCs/>
          <w:noProof/>
        </w:rPr>
        <w:t xml:space="preserve">Guidance </w:t>
      </w:r>
      <w:r w:rsidR="00D4266D">
        <w:rPr>
          <w:iCs/>
          <w:noProof/>
        </w:rPr>
        <w:t>n</w:t>
      </w:r>
      <w:r w:rsidRPr="00BE0F27">
        <w:rPr>
          <w:iCs/>
          <w:noProof/>
        </w:rPr>
        <w:t xml:space="preserve">ote: Credit and </w:t>
      </w:r>
      <w:r w:rsidR="00D4266D">
        <w:rPr>
          <w:iCs/>
          <w:noProof/>
        </w:rPr>
        <w:t>r</w:t>
      </w:r>
      <w:r w:rsidRPr="00BE0F27">
        <w:rPr>
          <w:iCs/>
          <w:noProof/>
        </w:rPr>
        <w:t xml:space="preserve">ecognition of </w:t>
      </w:r>
      <w:r w:rsidR="00D4266D">
        <w:rPr>
          <w:iCs/>
          <w:noProof/>
        </w:rPr>
        <w:t>p</w:t>
      </w:r>
      <w:r w:rsidRPr="00BE0F27">
        <w:rPr>
          <w:iCs/>
          <w:noProof/>
        </w:rPr>
        <w:t xml:space="preserve">rior </w:t>
      </w:r>
      <w:r w:rsidR="00D4266D">
        <w:rPr>
          <w:iCs/>
          <w:noProof/>
        </w:rPr>
        <w:t>l</w:t>
      </w:r>
      <w:r w:rsidRPr="00BE0F27">
        <w:rPr>
          <w:iCs/>
          <w:noProof/>
        </w:rPr>
        <w:t>earning</w:t>
      </w:r>
      <w:r w:rsidR="006B4435">
        <w:rPr>
          <w:iCs/>
          <w:noProof/>
        </w:rPr>
        <w:t xml:space="preserve"> </w:t>
      </w:r>
    </w:p>
    <w:p w14:paraId="7A54BEDF" w14:textId="77777777" w:rsidR="00F40B3D" w:rsidRDefault="00F40B3D" w:rsidP="00AE1FDB">
      <w:pPr>
        <w:rPr>
          <w:rStyle w:val="SubtleEmphasis"/>
          <w:noProof/>
          <w:highlight w:val="yellow"/>
        </w:rPr>
      </w:pPr>
    </w:p>
    <w:p w14:paraId="080CBC56" w14:textId="3FA51E2E" w:rsidR="00772E72" w:rsidRDefault="00B759C1" w:rsidP="00AE1FDB">
      <w:pPr>
        <w:rPr>
          <w:rStyle w:val="SubtleEmphasis"/>
          <w:noProof/>
          <w:color w:val="000000" w:themeColor="text1"/>
        </w:rPr>
      </w:pPr>
      <w:r w:rsidRPr="00FC367A">
        <w:rPr>
          <w:rStyle w:val="SubtleEmphasis"/>
          <w:noProof/>
        </w:rPr>
        <w:t xml:space="preserve">Version </w:t>
      </w:r>
      <w:r w:rsidR="00FC367A">
        <w:rPr>
          <w:rStyle w:val="SubtleEmphasis"/>
          <w:noProof/>
        </w:rPr>
        <w:t>2</w:t>
      </w:r>
      <w:r w:rsidRPr="00FC367A">
        <w:rPr>
          <w:rStyle w:val="SubtleEmphasis"/>
          <w:noProof/>
        </w:rPr>
        <w:t>.</w:t>
      </w:r>
      <w:r w:rsidR="003C0410" w:rsidRPr="00FC367A">
        <w:rPr>
          <w:rStyle w:val="SubtleEmphasis"/>
          <w:noProof/>
        </w:rPr>
        <w:t xml:space="preserve">0 </w:t>
      </w:r>
      <w:r w:rsidRPr="00FC367A">
        <w:rPr>
          <w:rStyle w:val="SubtleEmphasis"/>
          <w:noProof/>
        </w:rPr>
        <w:t>(</w:t>
      </w:r>
      <w:r w:rsidR="00FC367A" w:rsidRPr="00FC367A">
        <w:rPr>
          <w:rStyle w:val="SubtleEmphasis"/>
          <w:noProof/>
        </w:rPr>
        <w:t>7 July</w:t>
      </w:r>
      <w:r w:rsidR="003C0410" w:rsidRPr="00FC367A">
        <w:rPr>
          <w:rStyle w:val="SubtleEmphasis"/>
          <w:noProof/>
        </w:rPr>
        <w:t xml:space="preserve"> 202</w:t>
      </w:r>
      <w:r w:rsidR="00FC367A" w:rsidRPr="00FC367A">
        <w:rPr>
          <w:rStyle w:val="SubtleEmphasis"/>
          <w:noProof/>
        </w:rPr>
        <w:t>3</w:t>
      </w:r>
      <w:r w:rsidRPr="00FC367A">
        <w:rPr>
          <w:rStyle w:val="SubtleEmphasis"/>
          <w:noProof/>
        </w:rPr>
        <w:t>)</w:t>
      </w:r>
    </w:p>
    <w:p w14:paraId="451BD70B" w14:textId="09260882" w:rsidR="00772E72" w:rsidRPr="00F25CEC" w:rsidRDefault="00772E72" w:rsidP="00F2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E7D"/>
        <w:spacing w:line="276" w:lineRule="auto"/>
        <w:rPr>
          <w:rStyle w:val="SubtleEmphasis"/>
          <w:noProof/>
          <w:color w:val="FFFFFF" w:themeColor="background1"/>
        </w:rPr>
      </w:pPr>
      <w:r w:rsidRPr="00F25CEC">
        <w:rPr>
          <w:rStyle w:val="SubtleEmphasis"/>
          <w:noProof/>
          <w:color w:val="FFFFFF" w:themeColor="background1"/>
        </w:rPr>
        <w:t xml:space="preserve">Providers should note that </w:t>
      </w:r>
      <w:r w:rsidR="00524886" w:rsidRPr="00F25CEC">
        <w:rPr>
          <w:rStyle w:val="SubtleEmphasis"/>
          <w:noProof/>
          <w:color w:val="FFFFFF" w:themeColor="background1"/>
        </w:rPr>
        <w:t>Guidance Notes</w:t>
      </w:r>
      <w:r w:rsidRPr="00F25CEC">
        <w:rPr>
          <w:rStyle w:val="SubtleEmphasis"/>
          <w:noProof/>
          <w:color w:val="FFFFFF" w:themeColor="background1"/>
        </w:rPr>
        <w:t xml:space="preserve"> are intended to provide </w:t>
      </w:r>
      <w:r w:rsidR="007F59E6" w:rsidRPr="00F25CEC">
        <w:rPr>
          <w:rStyle w:val="SubtleEmphasis"/>
          <w:noProof/>
          <w:color w:val="FFFFFF" w:themeColor="background1"/>
        </w:rPr>
        <w:t>guidance only</w:t>
      </w:r>
      <w:r w:rsidRPr="00F25CEC">
        <w:rPr>
          <w:rStyle w:val="SubtleEmphasis"/>
          <w:noProof/>
          <w:color w:val="FFFFFF" w:themeColor="background1"/>
        </w:rPr>
        <w:t>. The definitive instruments for regulatory purposes remain the TEQSA Act and the Higher Education Standards Framework as amended from time to time.</w:t>
      </w:r>
    </w:p>
    <w:p w14:paraId="0B66C110" w14:textId="3E8E5739" w:rsidR="00B759C1" w:rsidRPr="00BE0F27" w:rsidRDefault="00B759C1" w:rsidP="00243AF5">
      <w:pPr>
        <w:pStyle w:val="Heading2"/>
        <w:numPr>
          <w:ilvl w:val="0"/>
          <w:numId w:val="11"/>
        </w:numPr>
        <w:rPr>
          <w:noProof/>
        </w:rPr>
      </w:pPr>
      <w:r w:rsidRPr="00BE0F27">
        <w:rPr>
          <w:noProof/>
        </w:rPr>
        <w:t xml:space="preserve">What does </w:t>
      </w:r>
      <w:r w:rsidR="00091FD4" w:rsidRPr="00BE0F27">
        <w:rPr>
          <w:noProof/>
        </w:rPr>
        <w:t>Credit and Recognition of Prior Learning</w:t>
      </w:r>
      <w:r w:rsidRPr="00BE0F27">
        <w:rPr>
          <w:noProof/>
        </w:rPr>
        <w:t xml:space="preserve"> </w:t>
      </w:r>
      <w:r w:rsidR="00854C1D">
        <w:rPr>
          <w:noProof/>
        </w:rPr>
        <w:t>encompass</w:t>
      </w:r>
      <w:r w:rsidRPr="00BE0F27">
        <w:rPr>
          <w:noProof/>
        </w:rPr>
        <w:t>?</w:t>
      </w:r>
    </w:p>
    <w:p w14:paraId="795C20AD" w14:textId="37D76454" w:rsidR="00D46A37" w:rsidRDefault="00D46A37" w:rsidP="00EC5DD6">
      <w:pPr>
        <w:rPr>
          <w:noProof/>
        </w:rPr>
      </w:pPr>
      <w:r>
        <w:rPr>
          <w:noProof/>
        </w:rPr>
        <w:t>T</w:t>
      </w:r>
      <w:r w:rsidR="00B759C1" w:rsidRPr="00C95EAF">
        <w:rPr>
          <w:noProof/>
        </w:rPr>
        <w:t xml:space="preserve">he </w:t>
      </w:r>
      <w:hyperlink r:id="rId11" w:history="1">
        <w:r w:rsidR="00B759C1" w:rsidRPr="00B67547">
          <w:rPr>
            <w:rStyle w:val="Hyperlink"/>
            <w:i/>
            <w:noProof/>
          </w:rPr>
          <w:t xml:space="preserve">Higher Education Standards Framework (Threshold </w:t>
        </w:r>
        <w:r w:rsidR="00B759C1" w:rsidRPr="00B67547">
          <w:rPr>
            <w:rStyle w:val="Hyperlink"/>
          </w:rPr>
          <w:t>Standards</w:t>
        </w:r>
        <w:r w:rsidR="00B759C1" w:rsidRPr="00B67547">
          <w:rPr>
            <w:rStyle w:val="Hyperlink"/>
            <w:i/>
            <w:noProof/>
          </w:rPr>
          <w:t>) 20</w:t>
        </w:r>
        <w:r w:rsidR="00513E63" w:rsidRPr="00B67547">
          <w:rPr>
            <w:rStyle w:val="Hyperlink"/>
            <w:i/>
            <w:noProof/>
          </w:rPr>
          <w:t>21</w:t>
        </w:r>
        <w:r w:rsidR="00B759C1" w:rsidRPr="00B67547">
          <w:rPr>
            <w:rStyle w:val="Hyperlink"/>
            <w:i/>
            <w:noProof/>
          </w:rPr>
          <w:t xml:space="preserve"> </w:t>
        </w:r>
        <w:r w:rsidR="00B759C1" w:rsidRPr="00B67547">
          <w:rPr>
            <w:rStyle w:val="Hyperlink"/>
            <w:noProof/>
          </w:rPr>
          <w:t>(</w:t>
        </w:r>
        <w:r w:rsidR="00141301" w:rsidRPr="00B67547">
          <w:rPr>
            <w:rStyle w:val="Hyperlink"/>
            <w:noProof/>
          </w:rPr>
          <w:t>Threshold Standards</w:t>
        </w:r>
        <w:r w:rsidR="00091FD4" w:rsidRPr="00B67547">
          <w:rPr>
            <w:rStyle w:val="Hyperlink"/>
            <w:noProof/>
          </w:rPr>
          <w:t>)</w:t>
        </w:r>
      </w:hyperlink>
      <w:r w:rsidRPr="008D7162">
        <w:rPr>
          <w:noProof/>
          <w:color w:val="004D7D"/>
        </w:rPr>
        <w:t xml:space="preserve"> </w:t>
      </w:r>
      <w:r>
        <w:rPr>
          <w:noProof/>
        </w:rPr>
        <w:t>and</w:t>
      </w:r>
      <w:r w:rsidR="00091FD4">
        <w:rPr>
          <w:noProof/>
        </w:rPr>
        <w:t xml:space="preserve"> </w:t>
      </w:r>
      <w:r w:rsidR="006B32EA">
        <w:rPr>
          <w:noProof/>
        </w:rPr>
        <w:t xml:space="preserve">the </w:t>
      </w:r>
      <w:hyperlink r:id="rId12" w:history="1">
        <w:r w:rsidR="006B32EA" w:rsidRPr="00B00764">
          <w:rPr>
            <w:rStyle w:val="Hyperlink"/>
            <w:noProof/>
            <w:color w:val="004E7D"/>
          </w:rPr>
          <w:t>Australian Qualification Framework (AQF)</w:t>
        </w:r>
      </w:hyperlink>
      <w:r w:rsidR="006B32EA">
        <w:rPr>
          <w:noProof/>
        </w:rPr>
        <w:t xml:space="preserve"> </w:t>
      </w:r>
      <w:r>
        <w:rPr>
          <w:noProof/>
        </w:rPr>
        <w:t xml:space="preserve">set out </w:t>
      </w:r>
      <w:r w:rsidR="00EC1815">
        <w:rPr>
          <w:noProof/>
        </w:rPr>
        <w:t>requirements</w:t>
      </w:r>
      <w:r>
        <w:rPr>
          <w:noProof/>
        </w:rPr>
        <w:t xml:space="preserve"> for recognition of prior learning (RPL) and granting credit in the higher education sector.</w:t>
      </w:r>
    </w:p>
    <w:p w14:paraId="14F0F54A" w14:textId="6C844FB6" w:rsidR="008646EE" w:rsidRDefault="008646EE" w:rsidP="00EC5DD6">
      <w:pPr>
        <w:rPr>
          <w:noProof/>
        </w:rPr>
      </w:pPr>
      <w:r>
        <w:t xml:space="preserve">The primary obligations are found in section 1.2 of the </w:t>
      </w:r>
      <w:r w:rsidR="00141301">
        <w:t>Threshold Standards</w:t>
      </w:r>
      <w:r>
        <w:t>.</w:t>
      </w:r>
    </w:p>
    <w:p w14:paraId="055504DB" w14:textId="3FB49ED7" w:rsidR="00EC1815" w:rsidRDefault="00F25CEC" w:rsidP="00CD74B3">
      <w:pPr>
        <w:rPr>
          <w:lang w:val="en-US"/>
        </w:rPr>
      </w:pPr>
      <w:r w:rsidRPr="00F25CEC">
        <w:rPr>
          <w:lang w:val="en-US"/>
        </w:rPr>
        <w:t xml:space="preserve">Credit is </w:t>
      </w:r>
      <w:r w:rsidR="00EC1815">
        <w:rPr>
          <w:lang w:val="en-US"/>
        </w:rPr>
        <w:t>a</w:t>
      </w:r>
      <w:r w:rsidRPr="00F25CEC">
        <w:rPr>
          <w:lang w:val="en-US"/>
        </w:rPr>
        <w:t xml:space="preserve"> recognition of equivalence in content and learning outcomes between different types of learning and/or qualifications. Credit </w:t>
      </w:r>
      <w:r w:rsidR="00942039">
        <w:rPr>
          <w:lang w:val="en-US"/>
        </w:rPr>
        <w:t>can reduce</w:t>
      </w:r>
      <w:r w:rsidR="00942039" w:rsidRPr="00F25CEC">
        <w:rPr>
          <w:lang w:val="en-US"/>
        </w:rPr>
        <w:t xml:space="preserve"> </w:t>
      </w:r>
      <w:r w:rsidRPr="00F25CEC">
        <w:rPr>
          <w:lang w:val="en-US"/>
        </w:rPr>
        <w:t>the amount of learning required to achieve a qualification</w:t>
      </w:r>
      <w:r w:rsidR="000034A0">
        <w:rPr>
          <w:lang w:val="en-US"/>
        </w:rPr>
        <w:t>.</w:t>
      </w:r>
      <w:r w:rsidR="00D46A37">
        <w:rPr>
          <w:lang w:val="en-US"/>
        </w:rPr>
        <w:t xml:space="preserve"> </w:t>
      </w:r>
    </w:p>
    <w:p w14:paraId="00455554" w14:textId="0924684E" w:rsidR="00EC1815" w:rsidRDefault="00EC1815" w:rsidP="00CD74B3">
      <w:r>
        <w:rPr>
          <w:lang w:val="en-US"/>
        </w:rPr>
        <w:t>Credit</w:t>
      </w:r>
      <w:r w:rsidR="00F25CEC" w:rsidRPr="00F25CEC">
        <w:rPr>
          <w:lang w:val="en-US"/>
        </w:rPr>
        <w:t xml:space="preserve"> may be</w:t>
      </w:r>
      <w:r w:rsidR="008B63C8">
        <w:rPr>
          <w:lang w:val="en-US"/>
        </w:rPr>
        <w:t xml:space="preserve"> granted</w:t>
      </w:r>
      <w:r w:rsidR="00F25CEC" w:rsidRPr="00F25CEC">
        <w:rPr>
          <w:lang w:val="en-US"/>
        </w:rPr>
        <w:t xml:space="preserve"> through credit transfer, articulation, </w:t>
      </w:r>
      <w:r w:rsidR="00872722">
        <w:rPr>
          <w:lang w:val="en-US"/>
        </w:rPr>
        <w:t>RPL</w:t>
      </w:r>
      <w:r w:rsidR="00F25CEC" w:rsidRPr="00F25CEC">
        <w:rPr>
          <w:lang w:val="en-US"/>
        </w:rPr>
        <w:t xml:space="preserve"> or advanced standing.</w:t>
      </w:r>
      <w:r w:rsidR="00CD74B3">
        <w:t xml:space="preserve"> </w:t>
      </w:r>
    </w:p>
    <w:p w14:paraId="37758F9E" w14:textId="605A38E3" w:rsidR="00CD74B3" w:rsidRDefault="00CD74B3" w:rsidP="00CD74B3">
      <w:r>
        <w:t>For the purposes of this Guidance Note, credit is interpreted broadly to include:</w:t>
      </w:r>
    </w:p>
    <w:p w14:paraId="341362F0" w14:textId="77777777" w:rsidR="00CD74B3" w:rsidRPr="007C69C4" w:rsidRDefault="00CD74B3" w:rsidP="00243AF5">
      <w:pPr>
        <w:pStyle w:val="Bullet1"/>
        <w:numPr>
          <w:ilvl w:val="0"/>
          <w:numId w:val="13"/>
        </w:numPr>
      </w:pPr>
      <w:r w:rsidRPr="007C69C4">
        <w:t>specified and unspecified credit</w:t>
      </w:r>
    </w:p>
    <w:p w14:paraId="66C7500D" w14:textId="77777777" w:rsidR="00CD74B3" w:rsidRPr="007C69C4" w:rsidRDefault="00CD74B3" w:rsidP="00243AF5">
      <w:pPr>
        <w:pStyle w:val="Bullet1"/>
        <w:numPr>
          <w:ilvl w:val="0"/>
          <w:numId w:val="13"/>
        </w:numPr>
      </w:pPr>
      <w:r w:rsidRPr="007C69C4">
        <w:t>exemptions</w:t>
      </w:r>
    </w:p>
    <w:p w14:paraId="0756EBC7" w14:textId="305DEFA1" w:rsidR="00CD74B3" w:rsidRPr="007C69C4" w:rsidRDefault="00CD74B3" w:rsidP="00243AF5">
      <w:pPr>
        <w:pStyle w:val="Bullet1"/>
        <w:numPr>
          <w:ilvl w:val="0"/>
          <w:numId w:val="13"/>
        </w:numPr>
      </w:pPr>
      <w:r w:rsidRPr="007C69C4">
        <w:t>advanced standing</w:t>
      </w:r>
    </w:p>
    <w:p w14:paraId="2C9FD7BC" w14:textId="77777777" w:rsidR="00CD74B3" w:rsidRPr="007C69C4" w:rsidRDefault="00CD74B3" w:rsidP="00243AF5">
      <w:pPr>
        <w:pStyle w:val="Bullet1"/>
        <w:numPr>
          <w:ilvl w:val="0"/>
          <w:numId w:val="13"/>
        </w:numPr>
      </w:pPr>
      <w:r w:rsidRPr="007C69C4">
        <w:t>credit transfers</w:t>
      </w:r>
    </w:p>
    <w:p w14:paraId="716D30DD" w14:textId="77777777" w:rsidR="00944AC9" w:rsidRDefault="00CD74B3" w:rsidP="00243AF5">
      <w:pPr>
        <w:pStyle w:val="Bullet1"/>
        <w:numPr>
          <w:ilvl w:val="0"/>
          <w:numId w:val="13"/>
        </w:numPr>
        <w:rPr>
          <w:lang w:val="en-US"/>
        </w:rPr>
      </w:pPr>
      <w:r w:rsidRPr="007C69C4">
        <w:t>opportunities</w:t>
      </w:r>
      <w:r w:rsidRPr="00757977">
        <w:rPr>
          <w:lang w:val="en-US"/>
        </w:rPr>
        <w:t xml:space="preserve"> for substitute learning</w:t>
      </w:r>
    </w:p>
    <w:p w14:paraId="2C87182B" w14:textId="2AA96B47" w:rsidR="00CD74B3" w:rsidRDefault="00F30DCD" w:rsidP="00352B57">
      <w:pPr>
        <w:rPr>
          <w:lang w:val="en-US"/>
        </w:rPr>
      </w:pPr>
      <w:r>
        <w:rPr>
          <w:lang w:val="en-US"/>
        </w:rPr>
        <w:t>R</w:t>
      </w:r>
      <w:r w:rsidR="00B41EC2">
        <w:rPr>
          <w:lang w:val="en-US"/>
        </w:rPr>
        <w:t xml:space="preserve">ecognition of </w:t>
      </w:r>
      <w:r>
        <w:rPr>
          <w:lang w:val="en-US"/>
        </w:rPr>
        <w:t>P</w:t>
      </w:r>
      <w:r w:rsidR="00B41EC2">
        <w:rPr>
          <w:lang w:val="en-US"/>
        </w:rPr>
        <w:t xml:space="preserve">rior </w:t>
      </w:r>
      <w:r>
        <w:rPr>
          <w:lang w:val="en-US"/>
        </w:rPr>
        <w:t>L</w:t>
      </w:r>
      <w:r w:rsidR="00B41EC2">
        <w:rPr>
          <w:lang w:val="en-US"/>
        </w:rPr>
        <w:t>earning</w:t>
      </w:r>
      <w:r w:rsidR="007447C1">
        <w:rPr>
          <w:lang w:val="en-US"/>
        </w:rPr>
        <w:t xml:space="preserve"> (RPL</w:t>
      </w:r>
      <w:r w:rsidR="0030770C">
        <w:rPr>
          <w:lang w:val="en-US"/>
        </w:rPr>
        <w:t>)</w:t>
      </w:r>
      <w:r w:rsidR="00352B57" w:rsidRPr="00352B57">
        <w:rPr>
          <w:lang w:val="en-US"/>
        </w:rPr>
        <w:t xml:space="preserve"> is an assessment of an individual’s prior learning to determine </w:t>
      </w:r>
      <w:r w:rsidR="00EC1815">
        <w:rPr>
          <w:lang w:val="en-US"/>
        </w:rPr>
        <w:t>whether credit</w:t>
      </w:r>
      <w:r w:rsidR="008C3F0D">
        <w:rPr>
          <w:lang w:val="en-US"/>
        </w:rPr>
        <w:t xml:space="preserve"> will be granted</w:t>
      </w:r>
      <w:r w:rsidR="00352B57" w:rsidRPr="00352B57">
        <w:rPr>
          <w:lang w:val="en-US"/>
        </w:rPr>
        <w:t>.</w:t>
      </w:r>
      <w:r w:rsidR="00E54D1D">
        <w:rPr>
          <w:lang w:val="en-US"/>
        </w:rPr>
        <w:t xml:space="preserve"> </w:t>
      </w:r>
      <w:r w:rsidR="008C3F0D">
        <w:rPr>
          <w:lang w:val="en-US"/>
        </w:rPr>
        <w:t>RPL</w:t>
      </w:r>
      <w:r w:rsidR="00E54D1D">
        <w:rPr>
          <w:lang w:val="en-US"/>
        </w:rPr>
        <w:t xml:space="preserve"> </w:t>
      </w:r>
      <w:r w:rsidR="008B0410">
        <w:rPr>
          <w:lang w:val="en-US"/>
        </w:rPr>
        <w:t>includes</w:t>
      </w:r>
      <w:r w:rsidR="00E54D1D">
        <w:rPr>
          <w:lang w:val="en-US"/>
        </w:rPr>
        <w:t xml:space="preserve"> </w:t>
      </w:r>
      <w:r w:rsidR="00E54D1D" w:rsidRPr="00352B57">
        <w:rPr>
          <w:lang w:val="en-US"/>
        </w:rPr>
        <w:t>formal, informal, and non-formal learning</w:t>
      </w:r>
      <w:r>
        <w:rPr>
          <w:lang w:val="en-US"/>
        </w:rPr>
        <w:t xml:space="preserve">. </w:t>
      </w:r>
      <w:r w:rsidR="002D4A07">
        <w:rPr>
          <w:lang w:val="en-US"/>
        </w:rPr>
        <w:t xml:space="preserve">The </w:t>
      </w:r>
      <w:hyperlink r:id="rId13" w:history="1">
        <w:r w:rsidR="002D4A07" w:rsidRPr="00DB7D05">
          <w:rPr>
            <w:rStyle w:val="Hyperlink"/>
            <w:lang w:val="en-US"/>
          </w:rPr>
          <w:t>A</w:t>
        </w:r>
        <w:r w:rsidR="005510AF" w:rsidRPr="00DB7D05">
          <w:rPr>
            <w:rStyle w:val="Hyperlink"/>
            <w:lang w:val="en-US"/>
          </w:rPr>
          <w:t xml:space="preserve">ustralian </w:t>
        </w:r>
        <w:r w:rsidR="002D4A07" w:rsidRPr="00DB7D05">
          <w:rPr>
            <w:rStyle w:val="Hyperlink"/>
            <w:lang w:val="en-US"/>
          </w:rPr>
          <w:t>Q</w:t>
        </w:r>
        <w:r w:rsidR="005510AF" w:rsidRPr="00DB7D05">
          <w:rPr>
            <w:rStyle w:val="Hyperlink"/>
            <w:lang w:val="en-US"/>
          </w:rPr>
          <w:t xml:space="preserve">ualification </w:t>
        </w:r>
        <w:r w:rsidR="002D4A07" w:rsidRPr="00DB7D05">
          <w:rPr>
            <w:rStyle w:val="Hyperlink"/>
            <w:lang w:val="en-US"/>
          </w:rPr>
          <w:t>F</w:t>
        </w:r>
        <w:r w:rsidR="005510AF" w:rsidRPr="00DB7D05">
          <w:rPr>
            <w:rStyle w:val="Hyperlink"/>
            <w:lang w:val="en-US"/>
          </w:rPr>
          <w:t>ramework (A</w:t>
        </w:r>
        <w:r w:rsidR="00FE698B" w:rsidRPr="00DB7D05">
          <w:rPr>
            <w:rStyle w:val="Hyperlink"/>
            <w:lang w:val="en-US"/>
          </w:rPr>
          <w:t>QF)</w:t>
        </w:r>
        <w:r w:rsidR="002D4A07" w:rsidRPr="00DB7D05">
          <w:rPr>
            <w:rStyle w:val="Hyperlink"/>
            <w:lang w:val="en-US"/>
          </w:rPr>
          <w:t xml:space="preserve"> Glossary of </w:t>
        </w:r>
        <w:r w:rsidR="005510AF" w:rsidRPr="00DB7D05">
          <w:rPr>
            <w:rStyle w:val="Hyperlink"/>
            <w:lang w:val="en-US"/>
          </w:rPr>
          <w:t>Terminology</w:t>
        </w:r>
      </w:hyperlink>
      <w:r w:rsidR="00FE698B">
        <w:rPr>
          <w:lang w:val="en-US"/>
        </w:rPr>
        <w:t xml:space="preserve"> provides definition</w:t>
      </w:r>
      <w:r w:rsidR="008B0410">
        <w:rPr>
          <w:lang w:val="en-US"/>
        </w:rPr>
        <w:t>s</w:t>
      </w:r>
      <w:r w:rsidR="00FE698B">
        <w:rPr>
          <w:lang w:val="en-US"/>
        </w:rPr>
        <w:t xml:space="preserve"> on thes</w:t>
      </w:r>
      <w:r w:rsidR="008B0410">
        <w:rPr>
          <w:lang w:val="en-US"/>
        </w:rPr>
        <w:t xml:space="preserve">e forms of learning. </w:t>
      </w:r>
    </w:p>
    <w:p w14:paraId="513E37AE" w14:textId="4E6B29D9" w:rsidR="006940BA" w:rsidRPr="00EA5625" w:rsidRDefault="002A7DBA" w:rsidP="006940BA">
      <w:pPr>
        <w:pStyle w:val="Bullet1"/>
        <w:rPr>
          <w:color w:val="auto"/>
          <w:lang w:val="en-US"/>
        </w:rPr>
      </w:pPr>
      <w:r w:rsidRPr="00EA5625">
        <w:rPr>
          <w:color w:val="auto"/>
          <w:lang w:val="en-US"/>
        </w:rPr>
        <w:t>F</w:t>
      </w:r>
      <w:r w:rsidR="006940BA" w:rsidRPr="00EA5625">
        <w:rPr>
          <w:color w:val="auto"/>
          <w:lang w:val="en-US"/>
        </w:rPr>
        <w:t>ormal learning</w:t>
      </w:r>
      <w:r w:rsidR="00AA43FA" w:rsidRPr="00EA5625">
        <w:rPr>
          <w:color w:val="auto"/>
          <w:lang w:val="en-US"/>
        </w:rPr>
        <w:t xml:space="preserve"> </w:t>
      </w:r>
      <w:r w:rsidR="00D329C8" w:rsidRPr="00EA5625">
        <w:rPr>
          <w:color w:val="auto"/>
          <w:lang w:val="en-US"/>
        </w:rPr>
        <w:t>–</w:t>
      </w:r>
      <w:r w:rsidR="00AA43FA" w:rsidRPr="00EA5625">
        <w:rPr>
          <w:color w:val="auto"/>
          <w:lang w:val="en-US"/>
        </w:rPr>
        <w:t xml:space="preserve"> </w:t>
      </w:r>
      <w:r w:rsidR="00D329C8" w:rsidRPr="00EA5625">
        <w:rPr>
          <w:color w:val="auto"/>
          <w:lang w:val="en-US"/>
        </w:rPr>
        <w:t xml:space="preserve">learning </w:t>
      </w:r>
      <w:r w:rsidR="00B10062" w:rsidRPr="00EA5625">
        <w:rPr>
          <w:color w:val="auto"/>
          <w:lang w:val="en-US"/>
        </w:rPr>
        <w:t xml:space="preserve">that takes place </w:t>
      </w:r>
      <w:r w:rsidR="00D329C8" w:rsidRPr="00EA5625">
        <w:rPr>
          <w:color w:val="auto"/>
          <w:lang w:val="en-US"/>
        </w:rPr>
        <w:t xml:space="preserve">through a structured </w:t>
      </w:r>
      <w:r w:rsidR="00DE3CCC" w:rsidRPr="00EA5625">
        <w:rPr>
          <w:color w:val="auto"/>
          <w:lang w:val="en-US"/>
        </w:rPr>
        <w:t>program</w:t>
      </w:r>
      <w:r w:rsidR="006F0EB2" w:rsidRPr="00EA5625">
        <w:rPr>
          <w:color w:val="auto"/>
          <w:lang w:val="en-US"/>
        </w:rPr>
        <w:t xml:space="preserve"> of learning that</w:t>
      </w:r>
      <w:r w:rsidR="00DE3CCC" w:rsidRPr="00EA5625">
        <w:rPr>
          <w:color w:val="auto"/>
          <w:lang w:val="en-US"/>
        </w:rPr>
        <w:t xml:space="preserve"> lead</w:t>
      </w:r>
      <w:r w:rsidR="006F0EB2" w:rsidRPr="00EA5625">
        <w:rPr>
          <w:color w:val="auto"/>
          <w:lang w:val="en-US"/>
        </w:rPr>
        <w:t>s</w:t>
      </w:r>
      <w:r w:rsidR="00DE3CCC" w:rsidRPr="00EA5625">
        <w:rPr>
          <w:color w:val="auto"/>
          <w:lang w:val="en-US"/>
        </w:rPr>
        <w:t xml:space="preserve"> to full or partial </w:t>
      </w:r>
      <w:r w:rsidR="00617862" w:rsidRPr="00EA5625">
        <w:rPr>
          <w:color w:val="auto"/>
          <w:lang w:val="en-US"/>
        </w:rPr>
        <w:t>achievement of an officially accredited course.</w:t>
      </w:r>
    </w:p>
    <w:p w14:paraId="0C7279AA" w14:textId="4389AC0B" w:rsidR="006940BA" w:rsidRPr="00EA5625" w:rsidRDefault="002A7DBA" w:rsidP="006940BA">
      <w:pPr>
        <w:pStyle w:val="Bullet1"/>
        <w:rPr>
          <w:color w:val="auto"/>
          <w:lang w:val="en-US"/>
        </w:rPr>
      </w:pPr>
      <w:r w:rsidRPr="00EA5625">
        <w:rPr>
          <w:color w:val="auto"/>
          <w:lang w:val="en-US"/>
        </w:rPr>
        <w:t>Informal learning</w:t>
      </w:r>
      <w:r w:rsidR="00AA43FA" w:rsidRPr="00EA5625">
        <w:rPr>
          <w:color w:val="auto"/>
          <w:lang w:val="en-US"/>
        </w:rPr>
        <w:t xml:space="preserve"> </w:t>
      </w:r>
      <w:r w:rsidR="00617862" w:rsidRPr="00EA5625">
        <w:rPr>
          <w:color w:val="auto"/>
          <w:lang w:val="en-US"/>
        </w:rPr>
        <w:t>–</w:t>
      </w:r>
      <w:r w:rsidR="00AA43FA" w:rsidRPr="00EA5625">
        <w:rPr>
          <w:color w:val="auto"/>
          <w:lang w:val="en-US"/>
        </w:rPr>
        <w:t xml:space="preserve"> </w:t>
      </w:r>
      <w:r w:rsidR="00617862" w:rsidRPr="00EA5625">
        <w:rPr>
          <w:color w:val="auto"/>
          <w:lang w:val="en-US"/>
        </w:rPr>
        <w:t xml:space="preserve">learning gained </w:t>
      </w:r>
      <w:r w:rsidR="00281A38" w:rsidRPr="00EA5625">
        <w:rPr>
          <w:color w:val="auto"/>
          <w:lang w:val="en-US"/>
        </w:rPr>
        <w:t xml:space="preserve">through work, social, family, hobby or leisure activities and experiences. </w:t>
      </w:r>
      <w:r w:rsidR="009B4A3D" w:rsidRPr="00EA5625">
        <w:rPr>
          <w:color w:val="auto"/>
          <w:lang w:val="en-US"/>
        </w:rPr>
        <w:t xml:space="preserve">It is not </w:t>
      </w:r>
      <w:r w:rsidR="00F303FF" w:rsidRPr="00EA5625">
        <w:rPr>
          <w:color w:val="auto"/>
          <w:lang w:val="en-US"/>
        </w:rPr>
        <w:t xml:space="preserve">organised or </w:t>
      </w:r>
      <w:r w:rsidR="009B4A3D" w:rsidRPr="00EA5625">
        <w:rPr>
          <w:color w:val="auto"/>
          <w:lang w:val="en-US"/>
        </w:rPr>
        <w:t xml:space="preserve">structured </w:t>
      </w:r>
      <w:r w:rsidR="00F303FF" w:rsidRPr="00EA5625">
        <w:rPr>
          <w:color w:val="auto"/>
          <w:lang w:val="en-US"/>
        </w:rPr>
        <w:t>in terms of objectives, time or learning support.</w:t>
      </w:r>
    </w:p>
    <w:p w14:paraId="5A19C298" w14:textId="2FD844FC" w:rsidR="002A7DBA" w:rsidRPr="00EA5625" w:rsidRDefault="002A7DBA" w:rsidP="006940BA">
      <w:pPr>
        <w:pStyle w:val="Bullet1"/>
        <w:rPr>
          <w:color w:val="auto"/>
          <w:lang w:val="en-US"/>
        </w:rPr>
      </w:pPr>
      <w:r w:rsidRPr="00EA5625">
        <w:rPr>
          <w:color w:val="auto"/>
          <w:lang w:val="en-US"/>
        </w:rPr>
        <w:t xml:space="preserve">Non-formal </w:t>
      </w:r>
      <w:r w:rsidR="001605C4" w:rsidRPr="00EA5625">
        <w:rPr>
          <w:color w:val="auto"/>
          <w:lang w:val="en-US"/>
        </w:rPr>
        <w:t>learning</w:t>
      </w:r>
      <w:r w:rsidR="00AA43FA" w:rsidRPr="00EA5625">
        <w:rPr>
          <w:color w:val="auto"/>
          <w:lang w:val="en-US"/>
        </w:rPr>
        <w:t xml:space="preserve"> </w:t>
      </w:r>
      <w:r w:rsidR="00106E1A" w:rsidRPr="00EA5625">
        <w:rPr>
          <w:color w:val="auto"/>
          <w:lang w:val="en-US"/>
        </w:rPr>
        <w:t>–</w:t>
      </w:r>
      <w:r w:rsidR="00AA43FA" w:rsidRPr="00EA5625">
        <w:rPr>
          <w:color w:val="auto"/>
          <w:lang w:val="en-US"/>
        </w:rPr>
        <w:t xml:space="preserve"> </w:t>
      </w:r>
      <w:r w:rsidR="00106E1A" w:rsidRPr="00EA5625">
        <w:rPr>
          <w:color w:val="auto"/>
          <w:lang w:val="en-US"/>
        </w:rPr>
        <w:t xml:space="preserve">learning </w:t>
      </w:r>
      <w:r w:rsidR="00FC31C5" w:rsidRPr="00EA5625">
        <w:rPr>
          <w:color w:val="auto"/>
          <w:lang w:val="en-US"/>
        </w:rPr>
        <w:t>that takes place</w:t>
      </w:r>
      <w:r w:rsidR="00C54817">
        <w:rPr>
          <w:color w:val="auto"/>
          <w:lang w:val="en-US"/>
        </w:rPr>
        <w:t xml:space="preserve"> </w:t>
      </w:r>
      <w:r w:rsidR="00106E1A" w:rsidRPr="00EA5625">
        <w:rPr>
          <w:color w:val="auto"/>
          <w:lang w:val="en-US"/>
        </w:rPr>
        <w:t xml:space="preserve">through a structured program of learning but does not lead to an officially accredited qualification. </w:t>
      </w:r>
    </w:p>
    <w:p w14:paraId="7CA510B2" w14:textId="6305F347" w:rsidR="00183BDA" w:rsidRPr="00100520" w:rsidRDefault="00183BDA" w:rsidP="00183BDA">
      <w:pPr>
        <w:rPr>
          <w:lang w:val="en-US"/>
        </w:rPr>
      </w:pPr>
      <w:r>
        <w:rPr>
          <w:lang w:val="en-US"/>
        </w:rPr>
        <w:t xml:space="preserve">A provider may </w:t>
      </w:r>
      <w:r w:rsidR="004275A2">
        <w:rPr>
          <w:lang w:val="en-US"/>
        </w:rPr>
        <w:t>grant credit arising from</w:t>
      </w:r>
      <w:r w:rsidR="00E54D1D">
        <w:rPr>
          <w:lang w:val="en-US"/>
        </w:rPr>
        <w:t xml:space="preserve"> </w:t>
      </w:r>
      <w:r w:rsidR="00352B57">
        <w:rPr>
          <w:lang w:val="en-US"/>
        </w:rPr>
        <w:t>RPL</w:t>
      </w:r>
      <w:r>
        <w:rPr>
          <w:lang w:val="en-US"/>
        </w:rPr>
        <w:t xml:space="preserve"> in different ways, including: </w:t>
      </w:r>
    </w:p>
    <w:p w14:paraId="637E7F0A" w14:textId="55C4AFC8" w:rsidR="00183BDA" w:rsidRPr="00757977" w:rsidRDefault="00E54D1D" w:rsidP="00243AF5">
      <w:pPr>
        <w:pStyle w:val="Bullet1"/>
        <w:numPr>
          <w:ilvl w:val="0"/>
          <w:numId w:val="13"/>
        </w:numPr>
        <w:rPr>
          <w:lang w:val="en-US"/>
        </w:rPr>
      </w:pPr>
      <w:r w:rsidRPr="00757977">
        <w:rPr>
          <w:lang w:val="en-US"/>
        </w:rPr>
        <w:t>a</w:t>
      </w:r>
      <w:r w:rsidR="00183BDA" w:rsidRPr="00757977">
        <w:rPr>
          <w:lang w:val="en-US"/>
        </w:rPr>
        <w:t>s part of a standing arrangement between providers to allow for credit to be transferred when a student complete</w:t>
      </w:r>
      <w:r w:rsidR="000D3CA6" w:rsidRPr="00757977">
        <w:rPr>
          <w:lang w:val="en-US"/>
        </w:rPr>
        <w:t>s</w:t>
      </w:r>
      <w:r w:rsidR="00183BDA" w:rsidRPr="00757977">
        <w:rPr>
          <w:lang w:val="en-US"/>
        </w:rPr>
        <w:t xml:space="preserve"> </w:t>
      </w:r>
      <w:proofErr w:type="gramStart"/>
      <w:r w:rsidR="00183BDA" w:rsidRPr="00757977">
        <w:rPr>
          <w:lang w:val="en-US"/>
        </w:rPr>
        <w:t>particular units</w:t>
      </w:r>
      <w:proofErr w:type="gramEnd"/>
      <w:r w:rsidR="00183BDA" w:rsidRPr="00757977">
        <w:rPr>
          <w:lang w:val="en-US"/>
        </w:rPr>
        <w:t xml:space="preserve"> or courses</w:t>
      </w:r>
    </w:p>
    <w:p w14:paraId="4E004D5F" w14:textId="62147817" w:rsidR="00183BDA" w:rsidRPr="00757977" w:rsidRDefault="00E54D1D" w:rsidP="00243AF5">
      <w:pPr>
        <w:pStyle w:val="Bullet1"/>
        <w:numPr>
          <w:ilvl w:val="0"/>
          <w:numId w:val="13"/>
        </w:numPr>
        <w:rPr>
          <w:lang w:val="en-US"/>
        </w:rPr>
      </w:pPr>
      <w:r w:rsidRPr="00757977">
        <w:rPr>
          <w:lang w:val="en-US"/>
        </w:rPr>
        <w:lastRenderedPageBreak/>
        <w:t>o</w:t>
      </w:r>
      <w:r w:rsidR="00183BDA" w:rsidRPr="00757977">
        <w:rPr>
          <w:lang w:val="en-US"/>
        </w:rPr>
        <w:t xml:space="preserve">n a case-by-case basis. </w:t>
      </w:r>
    </w:p>
    <w:p w14:paraId="47CF38BB" w14:textId="0FA2090E" w:rsidR="004275A2" w:rsidRDefault="00EF52E8" w:rsidP="00100520">
      <w:pPr>
        <w:rPr>
          <w:lang w:val="en-US"/>
        </w:rPr>
      </w:pPr>
      <w:r>
        <w:rPr>
          <w:lang w:val="en-US"/>
        </w:rPr>
        <w:t xml:space="preserve">A provider’s </w:t>
      </w:r>
      <w:r w:rsidR="008C3F0D">
        <w:rPr>
          <w:lang w:val="en-US"/>
        </w:rPr>
        <w:t xml:space="preserve">RPL </w:t>
      </w:r>
      <w:r>
        <w:rPr>
          <w:lang w:val="en-US"/>
        </w:rPr>
        <w:t xml:space="preserve">policies and processes should be used to </w:t>
      </w:r>
      <w:r w:rsidR="00E54D1D">
        <w:rPr>
          <w:lang w:val="en-US"/>
        </w:rPr>
        <w:t xml:space="preserve">inform </w:t>
      </w:r>
      <w:r>
        <w:rPr>
          <w:lang w:val="en-US"/>
        </w:rPr>
        <w:t>decisions about granting credit. These policies and processes should include considerations about</w:t>
      </w:r>
      <w:r w:rsidR="004275A2">
        <w:rPr>
          <w:lang w:val="en-US"/>
        </w:rPr>
        <w:t>:</w:t>
      </w:r>
    </w:p>
    <w:p w14:paraId="7A9D6EB3" w14:textId="020922CE" w:rsidR="004275A2" w:rsidRDefault="004275A2" w:rsidP="00243AF5">
      <w:pPr>
        <w:pStyle w:val="Bullet1"/>
        <w:numPr>
          <w:ilvl w:val="0"/>
          <w:numId w:val="13"/>
        </w:numPr>
        <w:rPr>
          <w:lang w:val="en-US"/>
        </w:rPr>
      </w:pPr>
      <w:r w:rsidRPr="004275A2">
        <w:rPr>
          <w:lang w:val="en-US"/>
        </w:rPr>
        <w:t>whether granting credit may disadvantage the student</w:t>
      </w:r>
      <w:r>
        <w:rPr>
          <w:lang w:val="en-US"/>
        </w:rPr>
        <w:t xml:space="preserve"> in achieving expected learning outcomes for the course of study or qualification</w:t>
      </w:r>
    </w:p>
    <w:p w14:paraId="44216978" w14:textId="1898A1FC" w:rsidR="004275A2" w:rsidRPr="00EA5625" w:rsidRDefault="00ED7966" w:rsidP="00243AF5">
      <w:pPr>
        <w:pStyle w:val="Bullet1"/>
        <w:numPr>
          <w:ilvl w:val="0"/>
          <w:numId w:val="13"/>
        </w:numPr>
        <w:rPr>
          <w:color w:val="auto"/>
          <w:lang w:val="en-US"/>
        </w:rPr>
      </w:pPr>
      <w:r w:rsidRPr="00EA5625">
        <w:rPr>
          <w:color w:val="auto"/>
          <w:lang w:val="en-US"/>
        </w:rPr>
        <w:t xml:space="preserve">maintaining </w:t>
      </w:r>
      <w:r w:rsidR="00EF52E8" w:rsidRPr="00EA5625">
        <w:rPr>
          <w:color w:val="auto"/>
          <w:lang w:val="en-US"/>
        </w:rPr>
        <w:t>the integrity of the qualification</w:t>
      </w:r>
    </w:p>
    <w:p w14:paraId="328AEFD4" w14:textId="1BC8B0C3" w:rsidR="0014071F" w:rsidRPr="00EA5625" w:rsidRDefault="0014071F" w:rsidP="00243AF5">
      <w:pPr>
        <w:pStyle w:val="Bullet1"/>
        <w:numPr>
          <w:ilvl w:val="0"/>
          <w:numId w:val="13"/>
        </w:numPr>
        <w:rPr>
          <w:color w:val="auto"/>
          <w:lang w:val="en-US"/>
        </w:rPr>
      </w:pPr>
      <w:r w:rsidRPr="7060B32D">
        <w:rPr>
          <w:color w:val="auto"/>
          <w:lang w:val="en-US"/>
        </w:rPr>
        <w:t>impact o</w:t>
      </w:r>
      <w:r w:rsidR="00FE7DED" w:rsidRPr="7060B32D">
        <w:rPr>
          <w:color w:val="auto"/>
          <w:lang w:val="en-US"/>
        </w:rPr>
        <w:t>n</w:t>
      </w:r>
      <w:r w:rsidRPr="7060B32D">
        <w:rPr>
          <w:color w:val="auto"/>
          <w:lang w:val="en-US"/>
        </w:rPr>
        <w:t xml:space="preserve"> variants of double awards (see Guidance Note on Joint and Dual Awards (in development)</w:t>
      </w:r>
      <w:r w:rsidR="5311DE86" w:rsidRPr="7060B32D">
        <w:rPr>
          <w:color w:val="auto"/>
          <w:lang w:val="en-US"/>
        </w:rPr>
        <w:t>)</w:t>
      </w:r>
      <w:r w:rsidRPr="7060B32D">
        <w:rPr>
          <w:color w:val="auto"/>
          <w:lang w:val="en-US"/>
        </w:rPr>
        <w:t xml:space="preserve">. </w:t>
      </w:r>
    </w:p>
    <w:p w14:paraId="3E66C27D" w14:textId="2582A6ED" w:rsidR="004316DC" w:rsidRDefault="00EF52E8" w:rsidP="00915932">
      <w:pPr>
        <w:rPr>
          <w:lang w:val="en-US"/>
        </w:rPr>
      </w:pPr>
      <w:r>
        <w:rPr>
          <w:lang w:val="en-US"/>
        </w:rPr>
        <w:t xml:space="preserve">Further, any process for </w:t>
      </w:r>
      <w:r w:rsidR="008C3F0D">
        <w:rPr>
          <w:lang w:val="en-US"/>
        </w:rPr>
        <w:t xml:space="preserve">approving an </w:t>
      </w:r>
      <w:r w:rsidR="006B32EA">
        <w:rPr>
          <w:lang w:val="en-US"/>
        </w:rPr>
        <w:t>RPL</w:t>
      </w:r>
      <w:r>
        <w:rPr>
          <w:lang w:val="en-US"/>
        </w:rPr>
        <w:t xml:space="preserve"> </w:t>
      </w:r>
      <w:r w:rsidR="008C3F0D">
        <w:rPr>
          <w:lang w:val="en-US"/>
        </w:rPr>
        <w:t xml:space="preserve">request </w:t>
      </w:r>
      <w:r w:rsidR="00C51933">
        <w:rPr>
          <w:lang w:val="en-US"/>
        </w:rPr>
        <w:t>should be</w:t>
      </w:r>
      <w:r w:rsidR="00CD74B3">
        <w:rPr>
          <w:lang w:val="en-US"/>
        </w:rPr>
        <w:t xml:space="preserve"> grounded in evidence</w:t>
      </w:r>
      <w:r>
        <w:rPr>
          <w:lang w:val="en-US"/>
        </w:rPr>
        <w:t xml:space="preserve"> and</w:t>
      </w:r>
      <w:r w:rsidR="00CD74B3">
        <w:rPr>
          <w:lang w:val="en-US"/>
        </w:rPr>
        <w:t xml:space="preserve"> academic judgement about equivalence of learning.</w:t>
      </w:r>
    </w:p>
    <w:p w14:paraId="608553FC" w14:textId="6F081BB4" w:rsidR="00B759C1" w:rsidRDefault="00B759C1" w:rsidP="00243AF5">
      <w:pPr>
        <w:pStyle w:val="Heading2"/>
        <w:numPr>
          <w:ilvl w:val="0"/>
          <w:numId w:val="11"/>
        </w:numPr>
        <w:rPr>
          <w:noProof/>
        </w:rPr>
      </w:pPr>
      <w:r w:rsidRPr="00BE0F27">
        <w:rPr>
          <w:noProof/>
        </w:rPr>
        <w:t>What TEQSA will look for</w:t>
      </w:r>
    </w:p>
    <w:p w14:paraId="27892DD9" w14:textId="55DDDF37" w:rsidR="00EC5DD6" w:rsidRDefault="00B759C1" w:rsidP="00B759C1">
      <w:pPr>
        <w:rPr>
          <w:noProof/>
        </w:rPr>
      </w:pPr>
      <w:r w:rsidRPr="00C95EAF">
        <w:rPr>
          <w:noProof/>
        </w:rPr>
        <w:t xml:space="preserve">The </w:t>
      </w:r>
      <w:r w:rsidR="00141301">
        <w:rPr>
          <w:noProof/>
        </w:rPr>
        <w:t>Threshold Standards</w:t>
      </w:r>
      <w:r w:rsidRPr="00C95EAF">
        <w:rPr>
          <w:noProof/>
        </w:rPr>
        <w:t xml:space="preserve"> </w:t>
      </w:r>
      <w:r w:rsidR="00ED7966">
        <w:rPr>
          <w:noProof/>
        </w:rPr>
        <w:t>places requirements on</w:t>
      </w:r>
      <w:r w:rsidR="006D3C1C">
        <w:rPr>
          <w:noProof/>
        </w:rPr>
        <w:t xml:space="preserve"> </w:t>
      </w:r>
      <w:r w:rsidR="004316DC">
        <w:rPr>
          <w:noProof/>
        </w:rPr>
        <w:t xml:space="preserve">a </w:t>
      </w:r>
      <w:r w:rsidR="006D3C1C">
        <w:rPr>
          <w:noProof/>
        </w:rPr>
        <w:t>provider</w:t>
      </w:r>
      <w:r w:rsidR="004316DC">
        <w:rPr>
          <w:noProof/>
        </w:rPr>
        <w:t>’</w:t>
      </w:r>
      <w:r w:rsidR="006D3C1C">
        <w:rPr>
          <w:noProof/>
        </w:rPr>
        <w:t>s</w:t>
      </w:r>
      <w:r w:rsidR="00ED7966">
        <w:rPr>
          <w:noProof/>
        </w:rPr>
        <w:t xml:space="preserve"> </w:t>
      </w:r>
      <w:r w:rsidR="006D3C1C">
        <w:rPr>
          <w:noProof/>
        </w:rPr>
        <w:t>process</w:t>
      </w:r>
      <w:r w:rsidR="007409CB">
        <w:rPr>
          <w:noProof/>
        </w:rPr>
        <w:t>es</w:t>
      </w:r>
      <w:r w:rsidR="006D3C1C">
        <w:rPr>
          <w:noProof/>
        </w:rPr>
        <w:t xml:space="preserve"> and practices in granting credit and recognising prior learning.</w:t>
      </w:r>
      <w:r w:rsidR="00DC4564">
        <w:rPr>
          <w:noProof/>
        </w:rPr>
        <w:t xml:space="preserve"> </w:t>
      </w:r>
      <w:r w:rsidR="0089776B" w:rsidRPr="007C4501">
        <w:rPr>
          <w:noProof/>
        </w:rPr>
        <w:t xml:space="preserve">These include the following standards and criteria from the </w:t>
      </w:r>
      <w:r w:rsidR="00141301">
        <w:rPr>
          <w:noProof/>
        </w:rPr>
        <w:t>Threshold Standards</w:t>
      </w:r>
      <w:r w:rsidR="0089776B" w:rsidRPr="007C4501">
        <w:rPr>
          <w:noProof/>
        </w:rPr>
        <w:t>: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3681"/>
        <w:gridCol w:w="6226"/>
      </w:tblGrid>
      <w:tr w:rsidR="004316DC" w:rsidRPr="00E17BFE" w14:paraId="4371BDCF" w14:textId="77777777" w:rsidTr="00A9201F">
        <w:trPr>
          <w:trHeight w:val="332"/>
        </w:trPr>
        <w:tc>
          <w:tcPr>
            <w:tcW w:w="3681" w:type="dxa"/>
            <w:shd w:val="clear" w:color="auto" w:fill="004E7D"/>
          </w:tcPr>
          <w:p w14:paraId="08FB488D" w14:textId="77777777" w:rsidR="00DC4564" w:rsidRPr="00E17BFE" w:rsidRDefault="00DC4564" w:rsidP="00D61780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E17BF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  <w:t>Part A: Standards for HE Providers</w:t>
            </w:r>
          </w:p>
        </w:tc>
        <w:tc>
          <w:tcPr>
            <w:tcW w:w="6226" w:type="dxa"/>
            <w:shd w:val="clear" w:color="auto" w:fill="004E7D"/>
          </w:tcPr>
          <w:p w14:paraId="2B1AEFE4" w14:textId="7872B065" w:rsidR="00DC4564" w:rsidRPr="00E17BFE" w:rsidRDefault="00DC4564" w:rsidP="00D61780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E17BF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  <w:t>Key considerations</w:t>
            </w:r>
          </w:p>
        </w:tc>
      </w:tr>
      <w:tr w:rsidR="0075059A" w:rsidRPr="00E17BFE" w14:paraId="41661803" w14:textId="77777777" w:rsidTr="00656F2C">
        <w:trPr>
          <w:trHeight w:val="595"/>
        </w:trPr>
        <w:tc>
          <w:tcPr>
            <w:tcW w:w="3681" w:type="dxa"/>
            <w:shd w:val="clear" w:color="auto" w:fill="auto"/>
          </w:tcPr>
          <w:p w14:paraId="62554F39" w14:textId="74837950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1.1 Admission</w:t>
            </w:r>
          </w:p>
        </w:tc>
        <w:tc>
          <w:tcPr>
            <w:tcW w:w="6226" w:type="dxa"/>
            <w:shd w:val="clear" w:color="auto" w:fill="auto"/>
          </w:tcPr>
          <w:p w14:paraId="7DCD2089" w14:textId="4DA17E18" w:rsidR="0075059A" w:rsidRPr="00213598" w:rsidRDefault="003E5248" w:rsidP="006A73E7">
            <w:pPr>
              <w:pStyle w:val="Bullet1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p</w:t>
            </w:r>
            <w:r w:rsidR="0075059A" w:rsidRPr="00213598">
              <w:rPr>
                <w:sz w:val="20"/>
                <w:szCs w:val="20"/>
              </w:rPr>
              <w:t xml:space="preserve">rior to enrolment, providers must inform students of policies, </w:t>
            </w:r>
            <w:r w:rsidR="00426114" w:rsidRPr="00213598">
              <w:rPr>
                <w:sz w:val="20"/>
                <w:szCs w:val="20"/>
              </w:rPr>
              <w:t>arrangements,</w:t>
            </w:r>
            <w:r w:rsidR="0075059A" w:rsidRPr="00213598">
              <w:rPr>
                <w:sz w:val="20"/>
                <w:szCs w:val="20"/>
              </w:rPr>
              <w:t xml:space="preserve"> and potential eligibility for credit for prior learning</w:t>
            </w:r>
            <w:r w:rsidRPr="00213598">
              <w:rPr>
                <w:sz w:val="20"/>
                <w:szCs w:val="20"/>
              </w:rPr>
              <w:t>.</w:t>
            </w:r>
            <w:r w:rsidR="008B3F3C" w:rsidRPr="00213598">
              <w:rPr>
                <w:sz w:val="20"/>
                <w:szCs w:val="20"/>
              </w:rPr>
              <w:t xml:space="preserve"> </w:t>
            </w:r>
          </w:p>
        </w:tc>
      </w:tr>
      <w:tr w:rsidR="00A62649" w:rsidRPr="00E17BFE" w14:paraId="295AC76A" w14:textId="77777777" w:rsidTr="00A9201F">
        <w:trPr>
          <w:trHeight w:val="609"/>
        </w:trPr>
        <w:tc>
          <w:tcPr>
            <w:tcW w:w="3681" w:type="dxa"/>
            <w:shd w:val="clear" w:color="auto" w:fill="auto"/>
          </w:tcPr>
          <w:p w14:paraId="7D8B7D6F" w14:textId="5E24DFCE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1.2: Credit and Recognition of Prior Learning</w:t>
            </w:r>
          </w:p>
        </w:tc>
        <w:tc>
          <w:tcPr>
            <w:tcW w:w="6226" w:type="dxa"/>
            <w:vMerge w:val="restart"/>
            <w:shd w:val="clear" w:color="auto" w:fill="auto"/>
          </w:tcPr>
          <w:p w14:paraId="13A8C708" w14:textId="4C58990D" w:rsidR="00A62649" w:rsidRPr="00213598" w:rsidRDefault="00A62649" w:rsidP="006A73E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any granting of credit through RPL should:</w:t>
            </w:r>
          </w:p>
          <w:p w14:paraId="082D42C0" w14:textId="3AD7E643" w:rsidR="00BE61A8" w:rsidRPr="00213598" w:rsidRDefault="00BE61A8" w:rsidP="006F4041">
            <w:pPr>
              <w:pStyle w:val="Bullet2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not potentially disadvantage students including in the student’s transition into and through their course</w:t>
            </w:r>
          </w:p>
          <w:p w14:paraId="4B6678D8" w14:textId="77777777" w:rsidR="00BE61A8" w:rsidRPr="00213598" w:rsidRDefault="00BE61A8" w:rsidP="006F4041">
            <w:pPr>
              <w:pStyle w:val="Bullet2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maintain integrity of the course and qualification</w:t>
            </w:r>
          </w:p>
          <w:p w14:paraId="3536E00B" w14:textId="77777777" w:rsidR="00BE61A8" w:rsidRPr="00213598" w:rsidRDefault="00BE61A8" w:rsidP="006A73E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providers should grant credit and qualifications in accordance with its organisational policies and the Australian Qualifications Framework (AQF)</w:t>
            </w:r>
          </w:p>
          <w:p w14:paraId="6B57FB91" w14:textId="153DDD37" w:rsidR="00A62649" w:rsidRPr="00213598" w:rsidRDefault="00BE61A8" w:rsidP="006A73E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where credit is granted it must be identified on a student’s record of results and in a Australian Higher Education Graduation Statement (AHEGS)</w:t>
            </w:r>
            <w:r w:rsidRPr="00213598" w:rsidDel="008A5E07">
              <w:rPr>
                <w:noProof/>
                <w:sz w:val="20"/>
                <w:szCs w:val="20"/>
              </w:rPr>
              <w:t xml:space="preserve"> </w:t>
            </w:r>
            <w:r w:rsidRPr="00213598">
              <w:rPr>
                <w:noProof/>
                <w:sz w:val="20"/>
                <w:szCs w:val="20"/>
              </w:rPr>
              <w:t>if one is issued.</w:t>
            </w:r>
          </w:p>
        </w:tc>
      </w:tr>
      <w:tr w:rsidR="00A62649" w:rsidRPr="00E17BFE" w14:paraId="312440A1" w14:textId="77777777" w:rsidTr="00620F33">
        <w:trPr>
          <w:trHeight w:val="513"/>
        </w:trPr>
        <w:tc>
          <w:tcPr>
            <w:tcW w:w="3681" w:type="dxa"/>
            <w:shd w:val="clear" w:color="auto" w:fill="auto"/>
          </w:tcPr>
          <w:p w14:paraId="008B29CE" w14:textId="2D837568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1.3.6 Orientation and Progression</w:t>
            </w:r>
          </w:p>
        </w:tc>
        <w:tc>
          <w:tcPr>
            <w:tcW w:w="6226" w:type="dxa"/>
            <w:vMerge/>
            <w:shd w:val="clear" w:color="auto" w:fill="auto"/>
          </w:tcPr>
          <w:p w14:paraId="75CF6A0C" w14:textId="77777777" w:rsidR="00A62649" w:rsidRPr="00213598" w:rsidRDefault="00A62649" w:rsidP="00243AF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2649" w:rsidRPr="00E17BFE" w14:paraId="6BA90C4F" w14:textId="77777777" w:rsidTr="00620F33">
        <w:trPr>
          <w:trHeight w:val="703"/>
        </w:trPr>
        <w:tc>
          <w:tcPr>
            <w:tcW w:w="3681" w:type="dxa"/>
            <w:shd w:val="clear" w:color="auto" w:fill="auto"/>
          </w:tcPr>
          <w:p w14:paraId="7704F63F" w14:textId="6AD1EA05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1.5.7b, and 1.5.8 Qualifications and Certification</w:t>
            </w:r>
          </w:p>
        </w:tc>
        <w:tc>
          <w:tcPr>
            <w:tcW w:w="6226" w:type="dxa"/>
            <w:vMerge/>
            <w:shd w:val="clear" w:color="auto" w:fill="auto"/>
          </w:tcPr>
          <w:p w14:paraId="1467C2CE" w14:textId="77777777" w:rsidR="00A62649" w:rsidRPr="00213598" w:rsidRDefault="00A62649" w:rsidP="00243AF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2649" w:rsidRPr="00E17BFE" w14:paraId="326AFFB1" w14:textId="77777777" w:rsidTr="00620F33">
        <w:trPr>
          <w:trHeight w:val="516"/>
        </w:trPr>
        <w:tc>
          <w:tcPr>
            <w:tcW w:w="3681" w:type="dxa"/>
            <w:shd w:val="clear" w:color="auto" w:fill="auto"/>
          </w:tcPr>
          <w:p w14:paraId="5C84F37B" w14:textId="7DD4BFA0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6.2.1(h) Standards for Corporate Monitoring and Accountability</w:t>
            </w:r>
          </w:p>
        </w:tc>
        <w:tc>
          <w:tcPr>
            <w:tcW w:w="6226" w:type="dxa"/>
            <w:vMerge/>
            <w:shd w:val="clear" w:color="auto" w:fill="auto"/>
          </w:tcPr>
          <w:p w14:paraId="737D8BD9" w14:textId="77777777" w:rsidR="00A62649" w:rsidRPr="00213598" w:rsidRDefault="00A62649" w:rsidP="00D617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307C" w:rsidRPr="00E17BFE" w14:paraId="6EC179E4" w14:textId="77777777" w:rsidTr="00EB7293">
        <w:trPr>
          <w:trHeight w:val="580"/>
        </w:trPr>
        <w:tc>
          <w:tcPr>
            <w:tcW w:w="3681" w:type="dxa"/>
            <w:shd w:val="clear" w:color="auto" w:fill="auto"/>
          </w:tcPr>
          <w:p w14:paraId="5DE55B6B" w14:textId="63CEA859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1.4 Learning Outcomes and Assessment</w:t>
            </w:r>
          </w:p>
          <w:p w14:paraId="60FBD38A" w14:textId="078D96F8" w:rsidR="003F307C" w:rsidRPr="000377FF" w:rsidRDefault="003F307C" w:rsidP="00D61780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226" w:type="dxa"/>
            <w:vMerge w:val="restart"/>
            <w:shd w:val="clear" w:color="auto" w:fill="auto"/>
          </w:tcPr>
          <w:p w14:paraId="09A19BBF" w14:textId="0A14FCB3" w:rsidR="003F307C" w:rsidRPr="00213598" w:rsidRDefault="003E5248" w:rsidP="0011007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o</w:t>
            </w:r>
            <w:r w:rsidR="003F307C" w:rsidRPr="00213598">
              <w:rPr>
                <w:noProof/>
                <w:sz w:val="20"/>
                <w:szCs w:val="20"/>
              </w:rPr>
              <w:t>n completion of a course</w:t>
            </w:r>
            <w:r w:rsidR="004D2471" w:rsidRPr="00213598">
              <w:rPr>
                <w:noProof/>
                <w:sz w:val="20"/>
                <w:szCs w:val="20"/>
              </w:rPr>
              <w:t>,</w:t>
            </w:r>
            <w:r w:rsidR="003F307C" w:rsidRPr="00213598">
              <w:rPr>
                <w:noProof/>
                <w:sz w:val="20"/>
                <w:szCs w:val="20"/>
              </w:rPr>
              <w:t xml:space="preserve"> students must demonstrate they</w:t>
            </w:r>
            <w:r w:rsidR="00ED7966" w:rsidRPr="00213598">
              <w:rPr>
                <w:noProof/>
                <w:sz w:val="20"/>
                <w:szCs w:val="20"/>
              </w:rPr>
              <w:t xml:space="preserve"> have</w:t>
            </w:r>
            <w:r w:rsidR="003F307C" w:rsidRPr="00213598">
              <w:rPr>
                <w:noProof/>
                <w:sz w:val="20"/>
                <w:szCs w:val="20"/>
              </w:rPr>
              <w:t xml:space="preserve"> achieved the specified learning outcomes for that course</w:t>
            </w:r>
            <w:r w:rsidR="00D5442C" w:rsidRPr="00213598">
              <w:rPr>
                <w:noProof/>
                <w:sz w:val="20"/>
                <w:szCs w:val="20"/>
              </w:rPr>
              <w:t>.</w:t>
            </w:r>
          </w:p>
          <w:p w14:paraId="37EF3498" w14:textId="38A5EDE0" w:rsidR="00A62649" w:rsidRPr="00213598" w:rsidRDefault="003E5248" w:rsidP="0011007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l</w:t>
            </w:r>
            <w:r w:rsidR="003F307C" w:rsidRPr="00213598">
              <w:rPr>
                <w:noProof/>
                <w:sz w:val="20"/>
                <w:szCs w:val="20"/>
              </w:rPr>
              <w:t>earning outcomes for a qualification must be consistent with the</w:t>
            </w:r>
            <w:r w:rsidR="00A62649" w:rsidRPr="00213598">
              <w:rPr>
                <w:noProof/>
                <w:sz w:val="20"/>
                <w:szCs w:val="20"/>
              </w:rPr>
              <w:t xml:space="preserve"> AQF</w:t>
            </w:r>
            <w:r w:rsidR="003F307C" w:rsidRPr="00213598">
              <w:rPr>
                <w:noProof/>
                <w:sz w:val="20"/>
                <w:szCs w:val="20"/>
              </w:rPr>
              <w:t xml:space="preserve"> </w:t>
            </w:r>
            <w:r w:rsidR="00D5442C" w:rsidRPr="00213598">
              <w:rPr>
                <w:noProof/>
                <w:sz w:val="20"/>
                <w:szCs w:val="20"/>
              </w:rPr>
              <w:t xml:space="preserve">Specification for the </w:t>
            </w:r>
            <w:r w:rsidR="008B3F3C" w:rsidRPr="00213598">
              <w:rPr>
                <w:noProof/>
                <w:sz w:val="20"/>
                <w:szCs w:val="20"/>
              </w:rPr>
              <w:t>qualification</w:t>
            </w:r>
            <w:r w:rsidR="00D5442C" w:rsidRPr="00213598">
              <w:rPr>
                <w:noProof/>
                <w:sz w:val="20"/>
                <w:szCs w:val="20"/>
              </w:rPr>
              <w:t xml:space="preserve"> level.</w:t>
            </w:r>
          </w:p>
        </w:tc>
      </w:tr>
      <w:tr w:rsidR="003F307C" w:rsidRPr="00E17BFE" w14:paraId="1ACFBB1A" w14:textId="77777777" w:rsidTr="00D5644F">
        <w:trPr>
          <w:trHeight w:val="306"/>
        </w:trPr>
        <w:tc>
          <w:tcPr>
            <w:tcW w:w="3681" w:type="dxa"/>
            <w:shd w:val="clear" w:color="auto" w:fill="auto"/>
          </w:tcPr>
          <w:p w14:paraId="7AAD1F9B" w14:textId="2E4988BF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1.5.3 Qualifications and Certification</w:t>
            </w:r>
          </w:p>
        </w:tc>
        <w:tc>
          <w:tcPr>
            <w:tcW w:w="6226" w:type="dxa"/>
            <w:vMerge/>
            <w:shd w:val="clear" w:color="auto" w:fill="auto"/>
          </w:tcPr>
          <w:p w14:paraId="5EA27E2F" w14:textId="77777777" w:rsidR="003F307C" w:rsidRPr="00213598" w:rsidRDefault="003F307C" w:rsidP="00243AF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BA3FA7" w:rsidRPr="00E17BFE" w14:paraId="33823A75" w14:textId="77777777" w:rsidTr="00D5644F">
        <w:trPr>
          <w:trHeight w:val="55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223DB581" w14:textId="708B2C42" w:rsidR="00BA3FA7" w:rsidRPr="000377FF" w:rsidRDefault="00BA3FA7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2.4 Student grievances and complaints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14:paraId="3468CCB6" w14:textId="6465659A" w:rsidR="00BA3FA7" w:rsidRPr="00213598" w:rsidRDefault="00BA3FA7" w:rsidP="0011007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providers must have mechanisms for resolving grievances about any aspect of a student’s experience with a higher education provider</w:t>
            </w:r>
          </w:p>
        </w:tc>
      </w:tr>
      <w:tr w:rsidR="0089776B" w:rsidRPr="00E17BFE" w14:paraId="23DDBE8E" w14:textId="77777777" w:rsidTr="00D5644F">
        <w:trPr>
          <w:trHeight w:val="1115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0F6E1565" w14:textId="5119F6DE" w:rsidR="0089776B" w:rsidRPr="000377FF" w:rsidRDefault="0089776B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3.1 Course design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</w:tcPr>
          <w:p w14:paraId="044BD007" w14:textId="39E98572" w:rsidR="0089776B" w:rsidRPr="00213598" w:rsidRDefault="003E5248" w:rsidP="0011007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p</w:t>
            </w:r>
            <w:r w:rsidR="00671ABE" w:rsidRPr="00213598">
              <w:rPr>
                <w:noProof/>
                <w:sz w:val="20"/>
                <w:szCs w:val="20"/>
              </w:rPr>
              <w:t>roviders must ensure grants of credit will still result in the student having</w:t>
            </w:r>
            <w:r w:rsidR="0089776B" w:rsidRPr="00213598">
              <w:rPr>
                <w:noProof/>
                <w:sz w:val="20"/>
                <w:szCs w:val="20"/>
              </w:rPr>
              <w:t>:</w:t>
            </w:r>
          </w:p>
          <w:p w14:paraId="5393D5B4" w14:textId="7DECF275" w:rsidR="0089776B" w:rsidRPr="00213598" w:rsidRDefault="008A5E07" w:rsidP="00110077">
            <w:pPr>
              <w:pStyle w:val="Bullet2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engag</w:t>
            </w:r>
            <w:r w:rsidR="00276C2E" w:rsidRPr="00213598">
              <w:rPr>
                <w:noProof/>
                <w:sz w:val="20"/>
                <w:szCs w:val="20"/>
              </w:rPr>
              <w:t>ed</w:t>
            </w:r>
            <w:r w:rsidR="0089776B" w:rsidRPr="00213598">
              <w:rPr>
                <w:noProof/>
                <w:sz w:val="20"/>
                <w:szCs w:val="20"/>
              </w:rPr>
              <w:t xml:space="preserve"> in advanced learning consistent with the study involved</w:t>
            </w:r>
          </w:p>
          <w:p w14:paraId="0D377705" w14:textId="4386A94B" w:rsidR="0089776B" w:rsidRPr="00213598" w:rsidRDefault="008A5E07" w:rsidP="00110077">
            <w:pPr>
              <w:pStyle w:val="Bullet2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achiev</w:t>
            </w:r>
            <w:r w:rsidR="00276C2E" w:rsidRPr="00213598">
              <w:rPr>
                <w:noProof/>
                <w:sz w:val="20"/>
                <w:szCs w:val="20"/>
              </w:rPr>
              <w:t>ed</w:t>
            </w:r>
            <w:r w:rsidR="0089776B" w:rsidRPr="00213598">
              <w:rPr>
                <w:noProof/>
                <w:sz w:val="20"/>
                <w:szCs w:val="20"/>
              </w:rPr>
              <w:t xml:space="preserve"> required learning outcomes</w:t>
            </w:r>
            <w:r w:rsidR="00671ABE" w:rsidRPr="00213598">
              <w:rPr>
                <w:noProof/>
                <w:sz w:val="20"/>
                <w:szCs w:val="20"/>
              </w:rPr>
              <w:t>.</w:t>
            </w:r>
          </w:p>
        </w:tc>
      </w:tr>
      <w:tr w:rsidR="003F307C" w:rsidRPr="00E17BFE" w14:paraId="312D3711" w14:textId="77777777" w:rsidTr="00656F2C">
        <w:trPr>
          <w:trHeight w:val="442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0CE408DC" w14:textId="47F8D601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5.3 Monitoring, Review and Improvement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48709" w14:textId="58E1AABC" w:rsidR="003F307C" w:rsidRPr="00213598" w:rsidRDefault="003E5248" w:rsidP="00110077">
            <w:pPr>
              <w:pStyle w:val="Bullet1"/>
              <w:rPr>
                <w:noProof/>
                <w:sz w:val="20"/>
                <w:szCs w:val="20"/>
              </w:rPr>
            </w:pPr>
            <w:r w:rsidRPr="00213598">
              <w:rPr>
                <w:noProof/>
                <w:sz w:val="20"/>
                <w:szCs w:val="20"/>
              </w:rPr>
              <w:t>p</w:t>
            </w:r>
            <w:r w:rsidR="003F307C" w:rsidRPr="00213598">
              <w:rPr>
                <w:noProof/>
                <w:sz w:val="20"/>
                <w:szCs w:val="20"/>
              </w:rPr>
              <w:t xml:space="preserve">roviders must </w:t>
            </w:r>
            <w:r w:rsidR="008A5E07" w:rsidRPr="00213598">
              <w:rPr>
                <w:noProof/>
                <w:sz w:val="20"/>
                <w:szCs w:val="20"/>
              </w:rPr>
              <w:t xml:space="preserve">monitor </w:t>
            </w:r>
            <w:r w:rsidR="00D5442C" w:rsidRPr="00213598">
              <w:rPr>
                <w:noProof/>
                <w:sz w:val="20"/>
                <w:szCs w:val="20"/>
              </w:rPr>
              <w:t xml:space="preserve">cohort </w:t>
            </w:r>
            <w:r w:rsidR="003F307C" w:rsidRPr="00213598">
              <w:rPr>
                <w:noProof/>
                <w:sz w:val="20"/>
                <w:szCs w:val="20"/>
              </w:rPr>
              <w:t>data on student progress</w:t>
            </w:r>
            <w:r w:rsidR="008A5E07" w:rsidRPr="00213598">
              <w:rPr>
                <w:noProof/>
                <w:sz w:val="20"/>
                <w:szCs w:val="20"/>
              </w:rPr>
              <w:t xml:space="preserve"> </w:t>
            </w:r>
            <w:r w:rsidR="00D5442C" w:rsidRPr="00213598">
              <w:rPr>
                <w:noProof/>
                <w:sz w:val="20"/>
                <w:szCs w:val="20"/>
              </w:rPr>
              <w:t>(</w:t>
            </w:r>
            <w:r w:rsidR="008A5E07" w:rsidRPr="00213598">
              <w:rPr>
                <w:noProof/>
                <w:sz w:val="20"/>
                <w:szCs w:val="20"/>
              </w:rPr>
              <w:t>and attrition</w:t>
            </w:r>
            <w:r w:rsidR="00D5442C" w:rsidRPr="00213598">
              <w:rPr>
                <w:noProof/>
                <w:sz w:val="20"/>
                <w:szCs w:val="20"/>
              </w:rPr>
              <w:t>)</w:t>
            </w:r>
            <w:r w:rsidR="008A5E07" w:rsidRPr="00213598">
              <w:rPr>
                <w:noProof/>
                <w:sz w:val="20"/>
                <w:szCs w:val="20"/>
              </w:rPr>
              <w:t xml:space="preserve"> to continuously improve</w:t>
            </w:r>
            <w:r w:rsidR="00D5442C" w:rsidRPr="00213598">
              <w:rPr>
                <w:noProof/>
                <w:sz w:val="20"/>
                <w:szCs w:val="20"/>
              </w:rPr>
              <w:t xml:space="preserve"> and address risk</w:t>
            </w:r>
            <w:r w:rsidR="0075059A" w:rsidRPr="00213598">
              <w:rPr>
                <w:noProof/>
                <w:sz w:val="20"/>
                <w:szCs w:val="20"/>
              </w:rPr>
              <w:t>.</w:t>
            </w:r>
            <w:r w:rsidR="008A5E07" w:rsidRPr="0021359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37DEB" w:rsidRPr="00E17BFE" w14:paraId="40CA343B" w14:textId="77777777" w:rsidTr="00656F2C">
        <w:trPr>
          <w:trHeight w:val="695"/>
        </w:trPr>
        <w:tc>
          <w:tcPr>
            <w:tcW w:w="3681" w:type="dxa"/>
            <w:shd w:val="clear" w:color="auto" w:fill="auto"/>
          </w:tcPr>
          <w:p w14:paraId="12AF28F9" w14:textId="16113D62" w:rsidR="00437DEB" w:rsidRPr="000377FF" w:rsidRDefault="00437DEB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6.2.1(f) Corporate Monitoring and Accountability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shd w:val="clear" w:color="auto" w:fill="auto"/>
          </w:tcPr>
          <w:p w14:paraId="64C3A628" w14:textId="52706306" w:rsidR="00437DEB" w:rsidRPr="00213598" w:rsidRDefault="003E5248" w:rsidP="00110077">
            <w:pPr>
              <w:pStyle w:val="Bullet1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p</w:t>
            </w:r>
            <w:r w:rsidR="00437DEB" w:rsidRPr="00213598">
              <w:rPr>
                <w:sz w:val="20"/>
                <w:szCs w:val="20"/>
              </w:rPr>
              <w:t>rovider</w:t>
            </w:r>
            <w:r w:rsidRPr="00213598">
              <w:rPr>
                <w:sz w:val="20"/>
                <w:szCs w:val="20"/>
              </w:rPr>
              <w:t>s</w:t>
            </w:r>
            <w:r w:rsidR="00437DEB" w:rsidRPr="00213598">
              <w:rPr>
                <w:sz w:val="20"/>
                <w:szCs w:val="20"/>
              </w:rPr>
              <w:t xml:space="preserve"> must</w:t>
            </w:r>
            <w:r w:rsidR="00B35404" w:rsidRPr="00213598">
              <w:rPr>
                <w:sz w:val="20"/>
                <w:szCs w:val="20"/>
              </w:rPr>
              <w:t xml:space="preserve"> </w:t>
            </w:r>
            <w:r w:rsidR="00437DEB" w:rsidRPr="00213598">
              <w:rPr>
                <w:sz w:val="20"/>
                <w:szCs w:val="20"/>
              </w:rPr>
              <w:t xml:space="preserve">ensure competent academic governance and leadership of higher education provision </w:t>
            </w:r>
            <w:r w:rsidR="00B366DD" w:rsidRPr="00213598">
              <w:rPr>
                <w:sz w:val="20"/>
                <w:szCs w:val="20"/>
              </w:rPr>
              <w:t>to maintain the</w:t>
            </w:r>
            <w:r w:rsidRPr="00213598">
              <w:rPr>
                <w:sz w:val="20"/>
                <w:szCs w:val="20"/>
              </w:rPr>
              <w:t xml:space="preserve"> quality of</w:t>
            </w:r>
            <w:r w:rsidR="00B366DD" w:rsidRPr="00213598">
              <w:rPr>
                <w:sz w:val="20"/>
                <w:szCs w:val="20"/>
              </w:rPr>
              <w:t xml:space="preserve"> higher education offered</w:t>
            </w:r>
            <w:r w:rsidRPr="00213598">
              <w:rPr>
                <w:sz w:val="20"/>
                <w:szCs w:val="20"/>
              </w:rPr>
              <w:t>.</w:t>
            </w:r>
          </w:p>
        </w:tc>
      </w:tr>
      <w:tr w:rsidR="00B366DD" w:rsidRPr="00E17BFE" w14:paraId="30963B58" w14:textId="77777777" w:rsidTr="00656F2C">
        <w:trPr>
          <w:trHeight w:val="681"/>
        </w:trPr>
        <w:tc>
          <w:tcPr>
            <w:tcW w:w="3681" w:type="dxa"/>
            <w:shd w:val="clear" w:color="auto" w:fill="auto"/>
          </w:tcPr>
          <w:p w14:paraId="517CC6F8" w14:textId="77777777" w:rsidR="00B366DD" w:rsidRPr="000377FF" w:rsidRDefault="00B366DD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lastRenderedPageBreak/>
              <w:t>6.3 Academic governance</w:t>
            </w:r>
          </w:p>
          <w:p w14:paraId="12D88690" w14:textId="22C09765" w:rsidR="00B366DD" w:rsidRPr="000377FF" w:rsidRDefault="00B366DD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6226" w:type="dxa"/>
            <w:shd w:val="clear" w:color="auto" w:fill="auto"/>
          </w:tcPr>
          <w:p w14:paraId="17AF066D" w14:textId="20197B0A" w:rsidR="00B366DD" w:rsidRPr="00213598" w:rsidRDefault="003E5248" w:rsidP="00110077">
            <w:pPr>
              <w:pStyle w:val="Bullet1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a provider’s academic governance ensures</w:t>
            </w:r>
            <w:r w:rsidR="0033210F" w:rsidRPr="00213598">
              <w:rPr>
                <w:sz w:val="20"/>
                <w:szCs w:val="20"/>
              </w:rPr>
              <w:t xml:space="preserve"> the</w:t>
            </w:r>
            <w:r w:rsidRPr="00213598">
              <w:rPr>
                <w:sz w:val="20"/>
                <w:szCs w:val="20"/>
              </w:rPr>
              <w:t xml:space="preserve"> integrity and quality of the higher education activities of teaching, learning, research, and scholarship.</w:t>
            </w:r>
          </w:p>
        </w:tc>
      </w:tr>
      <w:tr w:rsidR="0075059A" w:rsidRPr="00E17BFE" w14:paraId="68751875" w14:textId="77777777" w:rsidTr="00656F2C">
        <w:trPr>
          <w:trHeight w:val="1190"/>
        </w:trPr>
        <w:tc>
          <w:tcPr>
            <w:tcW w:w="3681" w:type="dxa"/>
            <w:shd w:val="clear" w:color="auto" w:fill="auto"/>
          </w:tcPr>
          <w:p w14:paraId="6B69D961" w14:textId="1CD362E6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7.1.3 Representation</w:t>
            </w:r>
          </w:p>
        </w:tc>
        <w:tc>
          <w:tcPr>
            <w:tcW w:w="6226" w:type="dxa"/>
            <w:shd w:val="clear" w:color="auto" w:fill="auto"/>
          </w:tcPr>
          <w:p w14:paraId="7485DF41" w14:textId="00B435F8" w:rsidR="0075059A" w:rsidRPr="00213598" w:rsidRDefault="003E5248" w:rsidP="00110077">
            <w:pPr>
              <w:pStyle w:val="Bullet1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w</w:t>
            </w:r>
            <w:r w:rsidR="0075059A" w:rsidRPr="00213598">
              <w:rPr>
                <w:sz w:val="20"/>
                <w:szCs w:val="20"/>
              </w:rPr>
              <w:t>hen offering units separate to a course of study that may entitle a student to credits toward a course or qualification the provider must explain:</w:t>
            </w:r>
          </w:p>
          <w:p w14:paraId="4ED2A850" w14:textId="1C872DDB" w:rsidR="0075059A" w:rsidRPr="00213598" w:rsidRDefault="00ED7966" w:rsidP="00110077">
            <w:pPr>
              <w:pStyle w:val="Bullet2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w</w:t>
            </w:r>
            <w:r w:rsidR="0075059A" w:rsidRPr="00213598">
              <w:rPr>
                <w:sz w:val="20"/>
                <w:szCs w:val="20"/>
              </w:rPr>
              <w:t>hich course/qualification it will contribute to</w:t>
            </w:r>
          </w:p>
          <w:p w14:paraId="56C541AB" w14:textId="059DFDA3" w:rsidR="00656F2C" w:rsidRPr="00656F2C" w:rsidRDefault="00ED7966" w:rsidP="00656F2C">
            <w:pPr>
              <w:pStyle w:val="Bullet2"/>
              <w:rPr>
                <w:noProof/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t</w:t>
            </w:r>
            <w:r w:rsidR="0075059A" w:rsidRPr="00213598">
              <w:rPr>
                <w:sz w:val="20"/>
                <w:szCs w:val="20"/>
              </w:rPr>
              <w:t>he terms on which credit will be granted</w:t>
            </w:r>
            <w:r w:rsidR="007921C9" w:rsidRPr="00213598">
              <w:rPr>
                <w:sz w:val="20"/>
                <w:szCs w:val="20"/>
              </w:rPr>
              <w:t xml:space="preserve"> or recognised</w:t>
            </w:r>
            <w:r w:rsidR="00671ABE" w:rsidRPr="00213598">
              <w:rPr>
                <w:sz w:val="20"/>
                <w:szCs w:val="20"/>
              </w:rPr>
              <w:t>.</w:t>
            </w:r>
          </w:p>
        </w:tc>
      </w:tr>
      <w:tr w:rsidR="0075059A" w:rsidRPr="00E17BFE" w14:paraId="111F228A" w14:textId="77777777" w:rsidTr="00D5644F">
        <w:trPr>
          <w:trHeight w:val="485"/>
        </w:trPr>
        <w:tc>
          <w:tcPr>
            <w:tcW w:w="3681" w:type="dxa"/>
            <w:shd w:val="clear" w:color="auto" w:fill="auto"/>
          </w:tcPr>
          <w:p w14:paraId="6F382A73" w14:textId="30959797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7.2.2(a)</w:t>
            </w:r>
            <w:r w:rsidR="00E4429F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,(d)</w:t>
            </w: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Information for Prospective and Current Students</w:t>
            </w:r>
            <w:r w:rsidR="001234C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</w:tc>
        <w:tc>
          <w:tcPr>
            <w:tcW w:w="6226" w:type="dxa"/>
            <w:vMerge w:val="restart"/>
            <w:shd w:val="clear" w:color="auto" w:fill="auto"/>
          </w:tcPr>
          <w:p w14:paraId="58C177D6" w14:textId="332DE12E" w:rsidR="0075059A" w:rsidRPr="00213598" w:rsidRDefault="003E5248" w:rsidP="00110077">
            <w:pPr>
              <w:pStyle w:val="Bullet1"/>
              <w:rPr>
                <w:sz w:val="20"/>
                <w:szCs w:val="20"/>
              </w:rPr>
            </w:pPr>
            <w:r w:rsidRPr="00213598">
              <w:rPr>
                <w:sz w:val="20"/>
                <w:szCs w:val="20"/>
              </w:rPr>
              <w:t>p</w:t>
            </w:r>
            <w:r w:rsidR="0075059A" w:rsidRPr="00213598">
              <w:rPr>
                <w:sz w:val="20"/>
                <w:szCs w:val="20"/>
              </w:rPr>
              <w:t xml:space="preserve">roviders must provide public access to their </w:t>
            </w:r>
            <w:r w:rsidR="00E4429F" w:rsidRPr="00213598">
              <w:rPr>
                <w:sz w:val="20"/>
                <w:szCs w:val="20"/>
              </w:rPr>
              <w:t xml:space="preserve">policies and arrangements </w:t>
            </w:r>
            <w:r w:rsidR="0075059A" w:rsidRPr="00213598">
              <w:rPr>
                <w:sz w:val="20"/>
                <w:szCs w:val="20"/>
              </w:rPr>
              <w:t>for</w:t>
            </w:r>
            <w:r w:rsidR="007921C9" w:rsidRPr="00213598">
              <w:rPr>
                <w:sz w:val="20"/>
                <w:szCs w:val="20"/>
              </w:rPr>
              <w:t xml:space="preserve"> RPL and</w:t>
            </w:r>
            <w:r w:rsidR="0075059A" w:rsidRPr="00213598">
              <w:rPr>
                <w:sz w:val="20"/>
                <w:szCs w:val="20"/>
              </w:rPr>
              <w:t xml:space="preserve"> </w:t>
            </w:r>
            <w:r w:rsidR="0065301B" w:rsidRPr="00213598">
              <w:rPr>
                <w:sz w:val="20"/>
                <w:szCs w:val="20"/>
              </w:rPr>
              <w:t>grant</w:t>
            </w:r>
            <w:r w:rsidR="0075059A" w:rsidRPr="00213598">
              <w:rPr>
                <w:sz w:val="20"/>
                <w:szCs w:val="20"/>
              </w:rPr>
              <w:t>ing</w:t>
            </w:r>
            <w:r w:rsidR="007921C9" w:rsidRPr="00213598">
              <w:rPr>
                <w:sz w:val="20"/>
                <w:szCs w:val="20"/>
              </w:rPr>
              <w:t xml:space="preserve"> </w:t>
            </w:r>
            <w:r w:rsidR="0075059A" w:rsidRPr="00213598">
              <w:rPr>
                <w:sz w:val="20"/>
                <w:szCs w:val="20"/>
              </w:rPr>
              <w:t>credit</w:t>
            </w:r>
            <w:r w:rsidR="00FA7333" w:rsidRPr="00213598">
              <w:rPr>
                <w:sz w:val="20"/>
                <w:szCs w:val="20"/>
              </w:rPr>
              <w:t>, including standing credit transfer arrangements</w:t>
            </w:r>
            <w:r w:rsidR="00344CDA" w:rsidRPr="00213598">
              <w:rPr>
                <w:sz w:val="20"/>
                <w:szCs w:val="20"/>
              </w:rPr>
              <w:t>.</w:t>
            </w:r>
          </w:p>
        </w:tc>
      </w:tr>
      <w:tr w:rsidR="0075059A" w:rsidRPr="00E17BFE" w14:paraId="022259A9" w14:textId="77777777" w:rsidTr="00D5644F">
        <w:trPr>
          <w:trHeight w:val="211"/>
        </w:trPr>
        <w:tc>
          <w:tcPr>
            <w:tcW w:w="3681" w:type="dxa"/>
            <w:shd w:val="clear" w:color="auto" w:fill="auto"/>
          </w:tcPr>
          <w:p w14:paraId="1916D8DD" w14:textId="401D5E7A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7.3.2 Information management</w:t>
            </w:r>
            <w:r w:rsidR="001234C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</w:tc>
        <w:tc>
          <w:tcPr>
            <w:tcW w:w="6226" w:type="dxa"/>
            <w:vMerge/>
            <w:shd w:val="clear" w:color="auto" w:fill="auto"/>
          </w:tcPr>
          <w:p w14:paraId="1C8A566D" w14:textId="77777777" w:rsidR="0075059A" w:rsidRPr="000377FF" w:rsidRDefault="0075059A" w:rsidP="00D617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043349" w14:textId="458B6BC9" w:rsidR="00215A66" w:rsidRDefault="00215A66" w:rsidP="00757977">
      <w:pPr>
        <w:pStyle w:val="Heading3"/>
        <w:rPr>
          <w:noProof/>
        </w:rPr>
      </w:pPr>
      <w:r>
        <w:rPr>
          <w:noProof/>
        </w:rPr>
        <w:t>The AQF Qualifications Pathway Policy</w:t>
      </w:r>
    </w:p>
    <w:p w14:paraId="54073F82" w14:textId="484517C5" w:rsidR="00D319B4" w:rsidRPr="00B00764" w:rsidRDefault="006E4B99" w:rsidP="006E4B99">
      <w:pPr>
        <w:rPr>
          <w:noProof/>
          <w:color w:val="004E7D"/>
        </w:rPr>
      </w:pPr>
      <w:r w:rsidRPr="7060B32D">
        <w:rPr>
          <w:noProof/>
        </w:rPr>
        <w:t xml:space="preserve">TEQSA will consider whether a </w:t>
      </w:r>
      <w:r w:rsidR="0065301B" w:rsidRPr="7060B32D">
        <w:rPr>
          <w:noProof/>
        </w:rPr>
        <w:t>grant</w:t>
      </w:r>
      <w:r w:rsidRPr="7060B32D">
        <w:rPr>
          <w:noProof/>
        </w:rPr>
        <w:t xml:space="preserve"> of credit is consistent with the </w:t>
      </w:r>
      <w:r w:rsidR="004A4879" w:rsidRPr="7060B32D">
        <w:rPr>
          <w:noProof/>
        </w:rPr>
        <w:t xml:space="preserve">AQF’s </w:t>
      </w:r>
      <w:hyperlink r:id="rId14">
        <w:r w:rsidR="0065301B" w:rsidRPr="7060B32D">
          <w:rPr>
            <w:rStyle w:val="Hyperlink"/>
            <w:noProof/>
            <w:color w:val="004E7D"/>
          </w:rPr>
          <w:t>Qualifications Pathway Policy (QPP)</w:t>
        </w:r>
      </w:hyperlink>
      <w:r w:rsidR="0065301B" w:rsidRPr="7060B32D">
        <w:rPr>
          <w:noProof/>
          <w:color w:val="004E7D"/>
        </w:rPr>
        <w:t>.</w:t>
      </w:r>
    </w:p>
    <w:p w14:paraId="10EE0CEE" w14:textId="59F6BEBF" w:rsidR="00FE36B1" w:rsidRDefault="00453E90" w:rsidP="006E4B99">
      <w:pPr>
        <w:rPr>
          <w:noProof/>
        </w:rPr>
      </w:pPr>
      <w:r>
        <w:rPr>
          <w:noProof/>
        </w:rPr>
        <w:t>Whilst many</w:t>
      </w:r>
      <w:r w:rsidR="00C94B96">
        <w:rPr>
          <w:noProof/>
        </w:rPr>
        <w:t xml:space="preserve"> requirements under the </w:t>
      </w:r>
      <w:r w:rsidR="00D066C3">
        <w:rPr>
          <w:noProof/>
        </w:rPr>
        <w:t>QPP</w:t>
      </w:r>
      <w:r w:rsidR="00C94B96">
        <w:rPr>
          <w:noProof/>
        </w:rPr>
        <w:t xml:space="preserve"> are similar to </w:t>
      </w:r>
      <w:r>
        <w:rPr>
          <w:noProof/>
        </w:rPr>
        <w:t>those</w:t>
      </w:r>
      <w:r w:rsidR="00C94B96">
        <w:rPr>
          <w:noProof/>
        </w:rPr>
        <w:t xml:space="preserve"> under the </w:t>
      </w:r>
      <w:r w:rsidR="00141301">
        <w:rPr>
          <w:noProof/>
        </w:rPr>
        <w:t>Threshold Standards</w:t>
      </w:r>
      <w:r w:rsidR="0065301B">
        <w:rPr>
          <w:noProof/>
        </w:rPr>
        <w:t>,</w:t>
      </w:r>
      <w:r w:rsidR="00FE36B1">
        <w:rPr>
          <w:noProof/>
        </w:rPr>
        <w:t xml:space="preserve"> the </w:t>
      </w:r>
      <w:r w:rsidR="00D066C3">
        <w:rPr>
          <w:noProof/>
        </w:rPr>
        <w:t>QPP</w:t>
      </w:r>
      <w:r w:rsidR="00FE36B1">
        <w:rPr>
          <w:noProof/>
        </w:rPr>
        <w:t xml:space="preserve"> add</w:t>
      </w:r>
      <w:r w:rsidR="00FA7333">
        <w:rPr>
          <w:noProof/>
        </w:rPr>
        <w:t>s</w:t>
      </w:r>
      <w:r w:rsidR="00FE36B1">
        <w:rPr>
          <w:noProof/>
        </w:rPr>
        <w:t xml:space="preserve"> additional expectations on providers</w:t>
      </w:r>
      <w:r w:rsidR="00BA6AD8">
        <w:rPr>
          <w:noProof/>
        </w:rPr>
        <w:t xml:space="preserve"> in areas</w:t>
      </w:r>
      <w:r w:rsidR="004A4879">
        <w:rPr>
          <w:noProof/>
        </w:rPr>
        <w:t xml:space="preserve"> such as:</w:t>
      </w:r>
    </w:p>
    <w:p w14:paraId="30CC5D7B" w14:textId="713320A7" w:rsidR="00AA4D88" w:rsidRDefault="006E54DE" w:rsidP="00CF7F3C">
      <w:r w:rsidRPr="00A9201F">
        <w:rPr>
          <w:b/>
          <w:bCs/>
        </w:rPr>
        <w:t>2.1.3</w:t>
      </w:r>
      <w:r>
        <w:t xml:space="preserve"> - T</w:t>
      </w:r>
      <w:r w:rsidR="00C94B96">
        <w:t>he</w:t>
      </w:r>
      <w:r>
        <w:t xml:space="preserve"> process for deciding whether to </w:t>
      </w:r>
      <w:r w:rsidR="00F33848">
        <w:t>give credit</w:t>
      </w:r>
      <w:r w:rsidR="00C94B96">
        <w:t xml:space="preserve"> into or</w:t>
      </w:r>
      <w:r w:rsidR="008945CC">
        <w:t xml:space="preserve"> credit</w:t>
      </w:r>
      <w:r w:rsidR="00C94B96">
        <w:t xml:space="preserve"> towards AQF qualifications</w:t>
      </w:r>
    </w:p>
    <w:p w14:paraId="46CCF53F" w14:textId="2CB83ABF" w:rsidR="006E4B99" w:rsidRDefault="00AA4D88" w:rsidP="00CF7F3C">
      <w:r w:rsidRPr="00A9201F">
        <w:rPr>
          <w:b/>
          <w:bCs/>
        </w:rPr>
        <w:t>2.1.5</w:t>
      </w:r>
      <w:r>
        <w:t xml:space="preserve"> – Requirement for credit to be granted based on individual negotiation between a student and provider, or as part of a formal negotiation between providers</w:t>
      </w:r>
    </w:p>
    <w:p w14:paraId="28188F3C" w14:textId="196C6627" w:rsidR="00215A66" w:rsidRDefault="006E54DE" w:rsidP="00CF7F3C">
      <w:r w:rsidRPr="00A9201F">
        <w:rPr>
          <w:b/>
          <w:bCs/>
        </w:rPr>
        <w:t>2.1.9</w:t>
      </w:r>
      <w:r w:rsidR="00AD26B9" w:rsidRPr="00A9201F">
        <w:rPr>
          <w:b/>
          <w:bCs/>
        </w:rPr>
        <w:t>-2.1.10</w:t>
      </w:r>
      <w:r>
        <w:t xml:space="preserve"> – </w:t>
      </w:r>
      <w:r w:rsidR="008A5E07">
        <w:t>Considerations for negotiating credit agreements between providers</w:t>
      </w:r>
      <w:r w:rsidR="00325099">
        <w:t>.</w:t>
      </w:r>
    </w:p>
    <w:p w14:paraId="5D3CC2B5" w14:textId="404C92F0" w:rsidR="00215A66" w:rsidRDefault="00344AE4" w:rsidP="00215A66">
      <w:pPr>
        <w:pStyle w:val="Heading3"/>
      </w:pPr>
      <w:r>
        <w:t>Obligations applying to providers of education to overseas students</w:t>
      </w:r>
      <w:r w:rsidR="00CD4320">
        <w:t xml:space="preserve"> in Australia</w:t>
      </w:r>
    </w:p>
    <w:p w14:paraId="4E950E29" w14:textId="6DE4DFA2" w:rsidR="00A528A3" w:rsidRDefault="00215A66" w:rsidP="00641C46">
      <w:r>
        <w:t>Where it applies to a provider, TEQSA considers the</w:t>
      </w:r>
      <w:r w:rsidR="00886C55">
        <w:t xml:space="preserve"> </w:t>
      </w:r>
      <w:hyperlink r:id="rId15" w:tgtFrame="_blank" w:tooltip="National Code 2018" w:history="1">
        <w:r w:rsidRPr="006A7F50">
          <w:rPr>
            <w:rStyle w:val="Hyperlink"/>
            <w:i/>
            <w:iCs/>
          </w:rPr>
          <w:t>National Code of Practice for Providers of Education and Training to Overseas Students 2018</w:t>
        </w:r>
        <w:r w:rsidRPr="006A7F50">
          <w:rPr>
            <w:rStyle w:val="Hyperlink"/>
          </w:rPr>
          <w:t> </w:t>
        </w:r>
      </w:hyperlink>
      <w:r w:rsidRPr="00215A66">
        <w:t>(National Code)</w:t>
      </w:r>
      <w:r w:rsidR="00344AE4">
        <w:t xml:space="preserve"> </w:t>
      </w:r>
      <w:r w:rsidR="00886C55">
        <w:t xml:space="preserve">and the </w:t>
      </w:r>
      <w:hyperlink r:id="rId16" w:history="1">
        <w:r w:rsidR="00344AE4" w:rsidRPr="006A7F50">
          <w:rPr>
            <w:rStyle w:val="Hyperlink"/>
            <w:i/>
            <w:iCs/>
          </w:rPr>
          <w:t>Education Services for Overseas Students Act 2000</w:t>
        </w:r>
      </w:hyperlink>
      <w:r w:rsidR="006A7F50">
        <w:rPr>
          <w:i/>
          <w:iCs/>
        </w:rPr>
        <w:t xml:space="preserve"> </w:t>
      </w:r>
      <w:r w:rsidR="00344AE4">
        <w:t>(ESOS Act)</w:t>
      </w:r>
      <w:r>
        <w:t>.</w:t>
      </w:r>
    </w:p>
    <w:p w14:paraId="53FB391F" w14:textId="3ED3634B" w:rsidR="0033210F" w:rsidRDefault="00746FD1" w:rsidP="00641C46">
      <w:r>
        <w:t>S</w:t>
      </w:r>
      <w:r w:rsidR="00215A66">
        <w:t>ections</w:t>
      </w:r>
      <w:r w:rsidR="00344AE4">
        <w:t xml:space="preserve"> of the National Code</w:t>
      </w:r>
      <w:r w:rsidR="00215A66">
        <w:t xml:space="preserve"> relevant to recognition of prior learning </w:t>
      </w:r>
      <w:r w:rsidR="00757977">
        <w:t>are</w:t>
      </w:r>
      <w:r w:rsidR="00215A66">
        <w:t>:</w:t>
      </w:r>
    </w:p>
    <w:p w14:paraId="0F7A16D9" w14:textId="3F8CBD85" w:rsidR="00102AA9" w:rsidRDefault="00102AA9" w:rsidP="00CF7F3C">
      <w:r w:rsidRPr="00B35404">
        <w:rPr>
          <w:b/>
          <w:bCs/>
        </w:rPr>
        <w:t>2.1.1</w:t>
      </w:r>
      <w:r>
        <w:t xml:space="preserve"> – prior to acceptance of an overseas student’s enrolment in a course, a provider must make the student aware of any course credit applicable</w:t>
      </w:r>
    </w:p>
    <w:p w14:paraId="24023B01" w14:textId="7BBB8F4B" w:rsidR="006C4CBB" w:rsidRPr="00757977" w:rsidRDefault="006C4CBB" w:rsidP="00CF7F3C">
      <w:r w:rsidRPr="00B35404">
        <w:rPr>
          <w:b/>
          <w:bCs/>
        </w:rPr>
        <w:t>2.3</w:t>
      </w:r>
      <w:r w:rsidRPr="00757977">
        <w:t xml:space="preserve"> – a provider must have a documented policy and process for RPL and granting credit. Further, </w:t>
      </w:r>
      <w:r w:rsidR="00344CDA">
        <w:t xml:space="preserve">a </w:t>
      </w:r>
      <w:r w:rsidRPr="00757977">
        <w:t>provider’s decisions to assess prior learning or grant credit must preserve the integrity of the award to which it applies</w:t>
      </w:r>
    </w:p>
    <w:p w14:paraId="70EAB805" w14:textId="447E79A7" w:rsidR="006C4CBB" w:rsidRPr="00757977" w:rsidRDefault="006C4CBB" w:rsidP="00CF7F3C">
      <w:r w:rsidRPr="00B35404">
        <w:rPr>
          <w:b/>
          <w:bCs/>
        </w:rPr>
        <w:t>2.4</w:t>
      </w:r>
      <w:r w:rsidRPr="00757977">
        <w:t xml:space="preserve"> – if a provider grants credit to or recognises prior learning of an overseas student</w:t>
      </w:r>
      <w:r w:rsidR="00B02B6D" w:rsidRPr="00757977">
        <w:t>, the provider must give the student a written record of it</w:t>
      </w:r>
      <w:r w:rsidR="003D4E12">
        <w:t xml:space="preserve"> to the student to accept and retain</w:t>
      </w:r>
      <w:r w:rsidR="00B02B6D" w:rsidRPr="00757977">
        <w:t>. The provider must also retain its own record of it for at least two years after the student ceases to be an accepted student</w:t>
      </w:r>
    </w:p>
    <w:p w14:paraId="5F5AA965" w14:textId="15C3289A" w:rsidR="00215A66" w:rsidRDefault="006C4CBB" w:rsidP="00CF7F3C">
      <w:r w:rsidRPr="00B35404">
        <w:rPr>
          <w:b/>
          <w:bCs/>
        </w:rPr>
        <w:t>2.5</w:t>
      </w:r>
      <w:r w:rsidR="00B02B6D" w:rsidRPr="00757977">
        <w:t xml:space="preserve"> – if course credit or RPL result in the reduction of an overseas student’s course length</w:t>
      </w:r>
      <w:r w:rsidR="007626A4">
        <w:t>,</w:t>
      </w:r>
      <w:r w:rsidR="00CD71A2">
        <w:t xml:space="preserve"> the provider must </w:t>
      </w:r>
      <w:r w:rsidR="00B02B6D" w:rsidRPr="00757977">
        <w:t>inform the student and ensur</w:t>
      </w:r>
      <w:r w:rsidR="00344CDA">
        <w:t>e</w:t>
      </w:r>
      <w:r w:rsidR="00B02B6D" w:rsidRPr="00757977">
        <w:t xml:space="preserve"> the confirmation of enrolment is issued for the reduced duration of the course</w:t>
      </w:r>
      <w:r w:rsidR="003213FA">
        <w:t xml:space="preserve">. </w:t>
      </w:r>
      <w:r w:rsidR="00B567B9">
        <w:t>I</w:t>
      </w:r>
      <w:r w:rsidR="00102AA9" w:rsidRPr="00757977">
        <w:t>f the reduction of the course length occurs after the overseas student’s visa is granted, the change</w:t>
      </w:r>
      <w:r w:rsidR="00673F43">
        <w:t xml:space="preserve"> </w:t>
      </w:r>
      <w:r w:rsidR="00673F43" w:rsidRPr="00757977">
        <w:t xml:space="preserve">duration </w:t>
      </w:r>
      <w:r w:rsidR="00673F43">
        <w:t xml:space="preserve">needs to be reported </w:t>
      </w:r>
      <w:r w:rsidR="00102AA9" w:rsidRPr="00757977">
        <w:t xml:space="preserve">in </w:t>
      </w:r>
      <w:r w:rsidR="00673F43">
        <w:t xml:space="preserve">the </w:t>
      </w:r>
      <w:r w:rsidR="00102AA9" w:rsidRPr="00757977">
        <w:t>P</w:t>
      </w:r>
      <w:r w:rsidR="00B553CF">
        <w:t xml:space="preserve">rovider </w:t>
      </w:r>
      <w:r w:rsidR="00102AA9" w:rsidRPr="00757977">
        <w:t>R</w:t>
      </w:r>
      <w:r w:rsidR="00B553CF">
        <w:t xml:space="preserve">egistration and </w:t>
      </w:r>
      <w:r w:rsidR="00102AA9" w:rsidRPr="00757977">
        <w:t>I</w:t>
      </w:r>
      <w:r w:rsidR="00B553CF">
        <w:t xml:space="preserve">nternational </w:t>
      </w:r>
      <w:r w:rsidR="00102AA9" w:rsidRPr="00757977">
        <w:t>S</w:t>
      </w:r>
      <w:r w:rsidR="00B553CF">
        <w:t xml:space="preserve">tudent </w:t>
      </w:r>
      <w:r w:rsidR="00102AA9" w:rsidRPr="00757977">
        <w:t>M</w:t>
      </w:r>
      <w:r w:rsidR="00B553CF">
        <w:t xml:space="preserve">anagement </w:t>
      </w:r>
      <w:r w:rsidR="00102AA9" w:rsidRPr="00757977">
        <w:t>S</w:t>
      </w:r>
      <w:r w:rsidR="00B553CF">
        <w:t>ystem (PRISMS)</w:t>
      </w:r>
      <w:r w:rsidR="00B02B6D" w:rsidRPr="00757977">
        <w:t xml:space="preserve"> </w:t>
      </w:r>
    </w:p>
    <w:p w14:paraId="5A4B724D" w14:textId="23DB6E10" w:rsidR="00746FD1" w:rsidRDefault="00746FD1" w:rsidP="00CF7F3C">
      <w:r w:rsidRPr="00B35404">
        <w:rPr>
          <w:b/>
          <w:bCs/>
        </w:rPr>
        <w:lastRenderedPageBreak/>
        <w:t>8</w:t>
      </w:r>
      <w:r>
        <w:t xml:space="preserve"> – requirements on a provider in monitoring, reviewing, and improving student and course outcomes</w:t>
      </w:r>
      <w:r w:rsidR="00757977">
        <w:t>.</w:t>
      </w:r>
      <w:r>
        <w:t xml:space="preserve"> </w:t>
      </w:r>
    </w:p>
    <w:p w14:paraId="237C9DF7" w14:textId="01A21D46" w:rsidR="00344AE4" w:rsidRPr="00215A66" w:rsidRDefault="003B092D" w:rsidP="000377FF">
      <w:pPr>
        <w:pStyle w:val="Bullet2"/>
        <w:numPr>
          <w:ilvl w:val="0"/>
          <w:numId w:val="0"/>
        </w:numPr>
        <w:spacing w:before="0"/>
      </w:pPr>
      <w:r>
        <w:t>Additionally</w:t>
      </w:r>
      <w:r w:rsidR="00344AE4">
        <w:t xml:space="preserve">, </w:t>
      </w:r>
      <w:r>
        <w:t xml:space="preserve">sections </w:t>
      </w:r>
      <w:r w:rsidRPr="003B092D">
        <w:t>21(2B), 21(2C) and 21(3)</w:t>
      </w:r>
      <w:r w:rsidR="000034A0">
        <w:t xml:space="preserve"> of the</w:t>
      </w:r>
      <w:r w:rsidR="00344AE4">
        <w:t xml:space="preserve"> ESOS Act, </w:t>
      </w:r>
      <w:r w:rsidR="00832920">
        <w:t>requires providers</w:t>
      </w:r>
      <w:r w:rsidR="00344AE4">
        <w:t xml:space="preserve"> to retain </w:t>
      </w:r>
      <w:r>
        <w:t xml:space="preserve">most student records for </w:t>
      </w:r>
      <w:r w:rsidRPr="003B092D">
        <w:t>two years after the overseas student ceases to be an accepted student</w:t>
      </w:r>
      <w:r>
        <w:t>.</w:t>
      </w:r>
    </w:p>
    <w:p w14:paraId="11962617" w14:textId="36482A34" w:rsidR="00F469C0" w:rsidRPr="00BE0F27" w:rsidRDefault="00072880" w:rsidP="00243AF5">
      <w:pPr>
        <w:pStyle w:val="Heading2"/>
        <w:numPr>
          <w:ilvl w:val="0"/>
          <w:numId w:val="11"/>
        </w:numPr>
        <w:rPr>
          <w:noProof/>
        </w:rPr>
      </w:pPr>
      <w:r>
        <w:rPr>
          <w:noProof/>
        </w:rPr>
        <w:t>Identified</w:t>
      </w:r>
      <w:r w:rsidRPr="00BE0F27">
        <w:rPr>
          <w:noProof/>
        </w:rPr>
        <w:t xml:space="preserve"> </w:t>
      </w:r>
      <w:r w:rsidR="001845B1" w:rsidRPr="00BE0F27">
        <w:rPr>
          <w:noProof/>
        </w:rPr>
        <w:t xml:space="preserve">issues </w:t>
      </w:r>
    </w:p>
    <w:p w14:paraId="024CB82D" w14:textId="7C5B92EC" w:rsidR="00F469C0" w:rsidRPr="00720766" w:rsidRDefault="00872FC7" w:rsidP="00720766">
      <w:pPr>
        <w:pStyle w:val="Bullet2"/>
        <w:numPr>
          <w:ilvl w:val="0"/>
          <w:numId w:val="0"/>
        </w:numPr>
        <w:spacing w:before="0"/>
      </w:pPr>
      <w:r w:rsidRPr="00720766">
        <w:t xml:space="preserve">TEQSA has identified a range of issues which can indicate potential </w:t>
      </w:r>
      <w:r w:rsidR="00ED7966" w:rsidRPr="00720766">
        <w:t xml:space="preserve">problems </w:t>
      </w:r>
      <w:r w:rsidRPr="00720766">
        <w:t xml:space="preserve">in </w:t>
      </w:r>
      <w:r w:rsidR="00EE545D" w:rsidRPr="00720766">
        <w:t xml:space="preserve">a </w:t>
      </w:r>
      <w:r w:rsidRPr="00720766">
        <w:t>provider</w:t>
      </w:r>
      <w:r w:rsidR="00EE545D" w:rsidRPr="00720766">
        <w:t>’</w:t>
      </w:r>
      <w:r w:rsidRPr="00720766">
        <w:t>s</w:t>
      </w:r>
      <w:r w:rsidR="00F8449E" w:rsidRPr="00720766">
        <w:t xml:space="preserve"> approach to</w:t>
      </w:r>
      <w:r w:rsidR="00ED7966" w:rsidRPr="00720766">
        <w:t xml:space="preserve"> </w:t>
      </w:r>
      <w:r w:rsidR="00EE545D" w:rsidRPr="00720766">
        <w:t xml:space="preserve">granting </w:t>
      </w:r>
      <w:r w:rsidR="00ED7966" w:rsidRPr="00720766">
        <w:t>RPL and</w:t>
      </w:r>
      <w:r w:rsidRPr="00720766">
        <w:t xml:space="preserve"> credit</w:t>
      </w:r>
      <w:r w:rsidR="00BC4A3B" w:rsidRPr="00720766">
        <w:t>. These include:</w:t>
      </w:r>
    </w:p>
    <w:p w14:paraId="4D44C9B2" w14:textId="4FADD495" w:rsidR="009935C4" w:rsidRPr="001A6269" w:rsidRDefault="0067396C" w:rsidP="00AA5FD6">
      <w:pPr>
        <w:pStyle w:val="Bullet1"/>
      </w:pPr>
      <w:r>
        <w:t xml:space="preserve">either poor or </w:t>
      </w:r>
      <w:r w:rsidR="008037A6">
        <w:t xml:space="preserve">no information </w:t>
      </w:r>
      <w:r w:rsidR="00E35CFD">
        <w:t xml:space="preserve">being </w:t>
      </w:r>
      <w:r w:rsidR="008037A6">
        <w:t>provided to students about how to apply for credit</w:t>
      </w:r>
      <w:r w:rsidR="00D66D1D">
        <w:t>, or their eligibility for credit</w:t>
      </w:r>
      <w:r w:rsidR="00114FB5">
        <w:t xml:space="preserve"> with a provider</w:t>
      </w:r>
      <w:r w:rsidR="00344911">
        <w:t>, which</w:t>
      </w:r>
      <w:r w:rsidR="00537DB0">
        <w:t xml:space="preserve"> can impact on a </w:t>
      </w:r>
      <w:r w:rsidR="0037287E">
        <w:t>student’s</w:t>
      </w:r>
      <w:r w:rsidR="00537DB0">
        <w:t xml:space="preserve"> decision making </w:t>
      </w:r>
      <w:r w:rsidR="0037287E">
        <w:t>when comparing providers</w:t>
      </w:r>
    </w:p>
    <w:p w14:paraId="0CA59D80" w14:textId="5AAB2FEE" w:rsidR="009935C4" w:rsidRDefault="00525D66" w:rsidP="00AA5FD6">
      <w:pPr>
        <w:pStyle w:val="Bullet1"/>
      </w:pPr>
      <w:r>
        <w:t xml:space="preserve">a </w:t>
      </w:r>
      <w:r w:rsidR="00ED7966">
        <w:t>lack of</w:t>
      </w:r>
      <w:r w:rsidR="009935C4" w:rsidRPr="001A6269">
        <w:t xml:space="preserve"> timeliness in notifying students about whether </w:t>
      </w:r>
      <w:r>
        <w:t xml:space="preserve">credit </w:t>
      </w:r>
      <w:r w:rsidR="009935C4" w:rsidRPr="001A6269">
        <w:t>will be granted</w:t>
      </w:r>
      <w:r w:rsidR="0009345C">
        <w:t>,</w:t>
      </w:r>
      <w:r w:rsidR="009935C4" w:rsidRPr="001A6269">
        <w:t xml:space="preserve"> </w:t>
      </w:r>
      <w:r w:rsidR="00113EB6">
        <w:t>a</w:t>
      </w:r>
      <w:r w:rsidR="0009345C">
        <w:t>s well as</w:t>
      </w:r>
      <w:r w:rsidR="009900C8">
        <w:t xml:space="preserve"> a providers</w:t>
      </w:r>
      <w:r w:rsidR="00113EB6">
        <w:t xml:space="preserve"> </w:t>
      </w:r>
      <w:r w:rsidR="004F3A53">
        <w:t xml:space="preserve">reasoning </w:t>
      </w:r>
      <w:r w:rsidR="00995A1D">
        <w:t>if it is not granted</w:t>
      </w:r>
      <w:r w:rsidR="00E35CFD">
        <w:t>,</w:t>
      </w:r>
      <w:r w:rsidR="00344911">
        <w:t xml:space="preserve"> can</w:t>
      </w:r>
      <w:r w:rsidR="001A01D8">
        <w:t xml:space="preserve"> lead to a poor student experience</w:t>
      </w:r>
    </w:p>
    <w:p w14:paraId="598CD10A" w14:textId="0872C779" w:rsidR="00B35404" w:rsidRPr="00AA5FD6" w:rsidRDefault="00B35404" w:rsidP="00AA5FD6">
      <w:pPr>
        <w:pStyle w:val="Bullet1"/>
      </w:pPr>
      <w:r w:rsidRPr="00AA5FD6">
        <w:t>poor quality record</w:t>
      </w:r>
      <w:r w:rsidR="00802261" w:rsidRPr="00AA5FD6">
        <w:t xml:space="preserve"> keeping</w:t>
      </w:r>
      <w:r w:rsidRPr="00AA5FD6">
        <w:t xml:space="preserve"> of </w:t>
      </w:r>
      <w:r w:rsidR="00DC57B4" w:rsidRPr="00AA5FD6">
        <w:t xml:space="preserve">the </w:t>
      </w:r>
      <w:r w:rsidRPr="00AA5FD6">
        <w:t>reasons for refusing to grant credit to students</w:t>
      </w:r>
      <w:r w:rsidR="00DC57B4" w:rsidRPr="00AA5FD6">
        <w:t>,</w:t>
      </w:r>
      <w:r w:rsidRPr="00AA5FD6">
        <w:t xml:space="preserve"> or granting credit, particularly when doing so departs from the provider’s policies. </w:t>
      </w:r>
      <w:r w:rsidR="00802261" w:rsidRPr="00AA5FD6">
        <w:t>e</w:t>
      </w:r>
      <w:r w:rsidR="008B3F3C" w:rsidRPr="00AA5FD6">
        <w:t>.g.,</w:t>
      </w:r>
      <w:r w:rsidRPr="00AA5FD6">
        <w:t xml:space="preserve"> recording that credit was granted to a student only because they completed a unit with the same title at another institution</w:t>
      </w:r>
    </w:p>
    <w:p w14:paraId="23B4C83F" w14:textId="6D236B66" w:rsidR="006265D4" w:rsidRPr="00AA5FD6" w:rsidRDefault="00410423" w:rsidP="00AA5FD6">
      <w:pPr>
        <w:pStyle w:val="Bullet1"/>
      </w:pPr>
      <w:r w:rsidRPr="00AA5FD6">
        <w:t>poor</w:t>
      </w:r>
      <w:r w:rsidR="005E79E5" w:rsidRPr="00AA5FD6">
        <w:t xml:space="preserve"> quality records</w:t>
      </w:r>
      <w:r w:rsidRPr="00AA5FD6">
        <w:t>,</w:t>
      </w:r>
      <w:r w:rsidR="005E79E5" w:rsidRPr="00AA5FD6">
        <w:t xml:space="preserve"> about courses of study or individual units of study</w:t>
      </w:r>
      <w:r w:rsidR="004E6134" w:rsidRPr="00AA5FD6">
        <w:t xml:space="preserve">, </w:t>
      </w:r>
      <w:r w:rsidRPr="00AA5FD6">
        <w:t xml:space="preserve">may </w:t>
      </w:r>
      <w:r w:rsidR="004E6134" w:rsidRPr="00AA5FD6">
        <w:t>ma</w:t>
      </w:r>
      <w:r w:rsidRPr="00AA5FD6">
        <w:t>ke</w:t>
      </w:r>
      <w:r w:rsidR="005E79E5" w:rsidRPr="00AA5FD6">
        <w:t xml:space="preserve"> it difficult </w:t>
      </w:r>
      <w:r w:rsidR="009935C4" w:rsidRPr="00AA5FD6">
        <w:t>for</w:t>
      </w:r>
      <w:r w:rsidR="00776501" w:rsidRPr="00AA5FD6">
        <w:t xml:space="preserve"> </w:t>
      </w:r>
      <w:r w:rsidR="009935C4" w:rsidRPr="00AA5FD6">
        <w:t xml:space="preserve">students to have their studies recognised through RPL at other </w:t>
      </w:r>
      <w:r w:rsidR="00E85972" w:rsidRPr="00AA5FD6">
        <w:t>providers</w:t>
      </w:r>
      <w:r w:rsidR="009A5392" w:rsidRPr="00AA5FD6">
        <w:t xml:space="preserve">. </w:t>
      </w:r>
      <w:r w:rsidR="00DD1851" w:rsidRPr="00AA5FD6">
        <w:t>This</w:t>
      </w:r>
      <w:r w:rsidR="009A5392" w:rsidRPr="00AA5FD6">
        <w:t xml:space="preserve"> also makes it difficult for </w:t>
      </w:r>
      <w:r w:rsidR="00F02411" w:rsidRPr="00AA5FD6">
        <w:t xml:space="preserve">providers to review and improve their </w:t>
      </w:r>
      <w:r w:rsidR="00932F86" w:rsidRPr="00AA5FD6">
        <w:t xml:space="preserve">own </w:t>
      </w:r>
      <w:r w:rsidR="00F02411" w:rsidRPr="00AA5FD6">
        <w:t>RPL policies and procedure</w:t>
      </w:r>
      <w:r w:rsidR="00932F86" w:rsidRPr="00AA5FD6">
        <w:t>s</w:t>
      </w:r>
      <w:r w:rsidR="009935C4" w:rsidRPr="00AA5FD6">
        <w:t xml:space="preserve"> </w:t>
      </w:r>
    </w:p>
    <w:p w14:paraId="06433292" w14:textId="70806548" w:rsidR="0025248A" w:rsidRPr="00AA5FD6" w:rsidRDefault="009935C4" w:rsidP="00AA5FD6">
      <w:pPr>
        <w:pStyle w:val="Bullet1"/>
      </w:pPr>
      <w:r w:rsidRPr="00AA5FD6">
        <w:t xml:space="preserve">evidence-based approaches are not used in granting credit </w:t>
      </w:r>
      <w:r w:rsidR="001A5D34" w:rsidRPr="00AA5FD6">
        <w:t>because</w:t>
      </w:r>
      <w:r w:rsidR="00932F86" w:rsidRPr="00AA5FD6">
        <w:t xml:space="preserve"> the</w:t>
      </w:r>
      <w:r w:rsidR="001A5D34" w:rsidRPr="00AA5FD6">
        <w:t xml:space="preserve"> </w:t>
      </w:r>
      <w:r w:rsidRPr="00AA5FD6">
        <w:t>policies</w:t>
      </w:r>
      <w:r w:rsidR="003A47CC" w:rsidRPr="00AA5FD6">
        <w:t xml:space="preserve"> are poorly written</w:t>
      </w:r>
      <w:r w:rsidRPr="00AA5FD6">
        <w:t xml:space="preserve"> or </w:t>
      </w:r>
      <w:r w:rsidR="003A47CC" w:rsidRPr="00AA5FD6">
        <w:t>applied</w:t>
      </w:r>
      <w:r w:rsidR="0025248A" w:rsidRPr="00AA5FD6">
        <w:t xml:space="preserve">. </w:t>
      </w:r>
      <w:r w:rsidR="000034A0" w:rsidRPr="00AA5FD6">
        <w:t>An e</w:t>
      </w:r>
      <w:r w:rsidR="0025248A" w:rsidRPr="00AA5FD6">
        <w:t xml:space="preserve">xample </w:t>
      </w:r>
      <w:r w:rsidR="00932F86" w:rsidRPr="00AA5FD6">
        <w:t>of this</w:t>
      </w:r>
      <w:r w:rsidR="000034A0" w:rsidRPr="00AA5FD6">
        <w:t xml:space="preserve"> is granting credit </w:t>
      </w:r>
      <w:r w:rsidR="006A7631" w:rsidRPr="00AA5FD6">
        <w:t>in the interest of improving the recruitment of students</w:t>
      </w:r>
      <w:r w:rsidR="00392C84" w:rsidRPr="00AA5FD6">
        <w:t>,</w:t>
      </w:r>
      <w:r w:rsidR="006A7631" w:rsidRPr="00AA5FD6">
        <w:t xml:space="preserve"> without consideration of whether doing so will disadvantage the </w:t>
      </w:r>
      <w:r w:rsidR="00AA4D88" w:rsidRPr="00AA5FD6">
        <w:t>student</w:t>
      </w:r>
      <w:r w:rsidR="006A7631" w:rsidRPr="00AA5FD6">
        <w:t>s</w:t>
      </w:r>
    </w:p>
    <w:p w14:paraId="1194245B" w14:textId="3F958B0C" w:rsidR="003B092D" w:rsidRDefault="00225EA3" w:rsidP="00AA5FD6">
      <w:pPr>
        <w:pStyle w:val="Bullet1"/>
      </w:pPr>
      <w:r w:rsidRPr="00AA5FD6">
        <w:t>policies lacking clarity about who has</w:t>
      </w:r>
      <w:r w:rsidR="003B092D" w:rsidRPr="00AA5FD6">
        <w:t xml:space="preserve"> app</w:t>
      </w:r>
      <w:r w:rsidR="005B7808" w:rsidRPr="00AA5FD6">
        <w:t>ropriate expertise to make informed decisions about granting credit</w:t>
      </w:r>
      <w:r w:rsidR="0068247D" w:rsidRPr="00AA5FD6">
        <w:t>, or</w:t>
      </w:r>
      <w:r w:rsidR="005B7808" w:rsidRPr="00AA5FD6">
        <w:t xml:space="preserve"> </w:t>
      </w:r>
      <w:r w:rsidR="00392C84" w:rsidRPr="00AA5FD6">
        <w:t xml:space="preserve">delegating decisions on granting credit to employees lacking the specialist knowledge </w:t>
      </w:r>
      <w:r w:rsidR="002F2D72" w:rsidRPr="00AA5FD6">
        <w:t>may disadvantage students</w:t>
      </w:r>
    </w:p>
    <w:p w14:paraId="69A98AAF" w14:textId="140E9298" w:rsidR="00123CE3" w:rsidRPr="00EA5625" w:rsidRDefault="00945898" w:rsidP="00696468">
      <w:pPr>
        <w:pStyle w:val="Bullet1"/>
        <w:spacing w:before="240"/>
        <w:rPr>
          <w:color w:val="auto"/>
        </w:rPr>
      </w:pPr>
      <w:r w:rsidRPr="00EA5625">
        <w:rPr>
          <w:color w:val="auto"/>
        </w:rPr>
        <w:t>granting credit for short-form credentials</w:t>
      </w:r>
      <w:r w:rsidR="00AF3843" w:rsidRPr="00EA5625">
        <w:rPr>
          <w:color w:val="auto"/>
        </w:rPr>
        <w:t>,</w:t>
      </w:r>
      <w:r w:rsidRPr="00EA5625">
        <w:rPr>
          <w:color w:val="auto"/>
        </w:rPr>
        <w:t xml:space="preserve"> where the available information suggests </w:t>
      </w:r>
      <w:r w:rsidR="00AB333C" w:rsidRPr="00EA5625">
        <w:rPr>
          <w:color w:val="auto"/>
        </w:rPr>
        <w:t xml:space="preserve">learning outcomes are not achieved or sufficient. </w:t>
      </w:r>
      <w:r w:rsidR="00D224DC" w:rsidRPr="00EA5625">
        <w:rPr>
          <w:color w:val="auto"/>
        </w:rPr>
        <w:t>Providers</w:t>
      </w:r>
      <w:r w:rsidR="00F5676A" w:rsidRPr="00EA5625">
        <w:rPr>
          <w:color w:val="auto"/>
        </w:rPr>
        <w:t xml:space="preserve"> should have consideration of </w:t>
      </w:r>
      <w:r w:rsidR="00AB333C" w:rsidRPr="00EA5625">
        <w:rPr>
          <w:color w:val="auto"/>
        </w:rPr>
        <w:t xml:space="preserve">factors </w:t>
      </w:r>
      <w:r w:rsidR="00ED13F6" w:rsidRPr="00EA5625">
        <w:rPr>
          <w:color w:val="auto"/>
        </w:rPr>
        <w:t xml:space="preserve">such as length of course and intensity of the </w:t>
      </w:r>
      <w:r w:rsidR="00D20981" w:rsidRPr="00EA5625">
        <w:rPr>
          <w:color w:val="auto"/>
        </w:rPr>
        <w:t>learning</w:t>
      </w:r>
      <w:r w:rsidR="00F5676A" w:rsidRPr="00EA5625">
        <w:rPr>
          <w:color w:val="auto"/>
        </w:rPr>
        <w:t xml:space="preserve"> </w:t>
      </w:r>
      <w:r w:rsidR="008300B8" w:rsidRPr="00EA5625">
        <w:rPr>
          <w:color w:val="auto"/>
        </w:rPr>
        <w:t xml:space="preserve">when </w:t>
      </w:r>
      <w:r w:rsidR="005F7037" w:rsidRPr="00EA5625">
        <w:rPr>
          <w:color w:val="auto"/>
        </w:rPr>
        <w:t xml:space="preserve">determining </w:t>
      </w:r>
      <w:r w:rsidR="00C513C6" w:rsidRPr="00EA5625">
        <w:rPr>
          <w:color w:val="auto"/>
        </w:rPr>
        <w:t>the amount of credit to award</w:t>
      </w:r>
    </w:p>
    <w:p w14:paraId="795DC978" w14:textId="67D1B85A" w:rsidR="00AA4D88" w:rsidRPr="00AA5FD6" w:rsidRDefault="007F1708" w:rsidP="00AA5FD6">
      <w:pPr>
        <w:pStyle w:val="Bullet1"/>
      </w:pPr>
      <w:r w:rsidRPr="00AA5FD6">
        <w:t xml:space="preserve">when </w:t>
      </w:r>
      <w:r w:rsidR="00AA4D88" w:rsidRPr="00AA5FD6">
        <w:t xml:space="preserve">making </w:t>
      </w:r>
      <w:r w:rsidR="00335897" w:rsidRPr="00AA5FD6">
        <w:t>changes to course design</w:t>
      </w:r>
      <w:r w:rsidR="00AA4D88" w:rsidRPr="00AA5FD6">
        <w:t>,</w:t>
      </w:r>
      <w:r w:rsidR="00335897" w:rsidRPr="00AA5FD6">
        <w:t xml:space="preserve"> </w:t>
      </w:r>
      <w:r w:rsidR="00AA4D88" w:rsidRPr="00AA5FD6">
        <w:t xml:space="preserve">not appropriately planning </w:t>
      </w:r>
      <w:r w:rsidR="00C72C8A" w:rsidRPr="00AA5FD6">
        <w:t>for</w:t>
      </w:r>
      <w:r w:rsidR="00AA4D88" w:rsidRPr="00AA5FD6">
        <w:t xml:space="preserve"> and managing </w:t>
      </w:r>
      <w:r w:rsidR="00DC4258" w:rsidRPr="00AA5FD6">
        <w:t xml:space="preserve">potential </w:t>
      </w:r>
      <w:r w:rsidR="00AA4D88" w:rsidRPr="00AA5FD6">
        <w:t xml:space="preserve">impacts on students who have been granted credit through </w:t>
      </w:r>
      <w:proofErr w:type="gramStart"/>
      <w:r w:rsidR="00AA4D88" w:rsidRPr="00AA5FD6">
        <w:t>RPL</w:t>
      </w:r>
      <w:proofErr w:type="gramEnd"/>
    </w:p>
    <w:p w14:paraId="2A8B1DFD" w14:textId="055FFAD3" w:rsidR="00CA059E" w:rsidRPr="00AA5FD6" w:rsidRDefault="00CA059E" w:rsidP="00AA5FD6">
      <w:pPr>
        <w:pStyle w:val="Bullet1"/>
      </w:pPr>
      <w:r w:rsidRPr="00AA5FD6">
        <w:t>not</w:t>
      </w:r>
      <w:r w:rsidR="009935C4" w:rsidRPr="00AA5FD6">
        <w:t xml:space="preserve"> adequately monitor</w:t>
      </w:r>
      <w:r w:rsidRPr="00AA5FD6">
        <w:t>ing</w:t>
      </w:r>
      <w:r w:rsidR="009935C4" w:rsidRPr="00AA5FD6">
        <w:t xml:space="preserve"> and review</w:t>
      </w:r>
      <w:r w:rsidRPr="00AA5FD6">
        <w:t>ing</w:t>
      </w:r>
      <w:r w:rsidR="009935C4" w:rsidRPr="00AA5FD6">
        <w:t xml:space="preserve"> </w:t>
      </w:r>
      <w:r w:rsidR="00335897" w:rsidRPr="00AA5FD6">
        <w:t xml:space="preserve">RPL </w:t>
      </w:r>
      <w:r w:rsidR="009935C4" w:rsidRPr="00AA5FD6">
        <w:t>pr</w:t>
      </w:r>
      <w:r w:rsidR="00AA5FD6">
        <w:t>ocedures</w:t>
      </w:r>
      <w:r w:rsidR="009935C4" w:rsidRPr="00AA5FD6">
        <w:t xml:space="preserve"> and policies in granting credit</w:t>
      </w:r>
      <w:r w:rsidR="00242E49" w:rsidRPr="00AA5FD6">
        <w:t>. For example</w:t>
      </w:r>
      <w:r w:rsidR="00335897" w:rsidRPr="00AA5FD6">
        <w:t>:</w:t>
      </w:r>
    </w:p>
    <w:p w14:paraId="4B0075B1" w14:textId="2EF0F406" w:rsidR="00CA059E" w:rsidRDefault="00CA059E" w:rsidP="00AA5FD6">
      <w:pPr>
        <w:pStyle w:val="Bullet2"/>
      </w:pPr>
      <w:r>
        <w:t>not</w:t>
      </w:r>
      <w:r w:rsidRPr="00CA059E">
        <w:t xml:space="preserve"> monitor</w:t>
      </w:r>
      <w:r>
        <w:t xml:space="preserve">ing </w:t>
      </w:r>
      <w:r w:rsidRPr="00CA059E">
        <w:t>cohort</w:t>
      </w:r>
      <w:r>
        <w:t>s</w:t>
      </w:r>
      <w:r w:rsidRPr="00CA059E">
        <w:t xml:space="preserve"> of students</w:t>
      </w:r>
      <w:r w:rsidR="00D01815">
        <w:t xml:space="preserve"> granted credit</w:t>
      </w:r>
      <w:r w:rsidRPr="00CA059E">
        <w:t xml:space="preserve"> to identify if they are succeeding</w:t>
      </w:r>
      <w:r>
        <w:t xml:space="preserve"> in their courses of study</w:t>
      </w:r>
    </w:p>
    <w:p w14:paraId="563DEDFC" w14:textId="043BCE10" w:rsidR="00CA059E" w:rsidRDefault="000707C1" w:rsidP="00AA5FD6">
      <w:pPr>
        <w:pStyle w:val="Bullet2"/>
      </w:pPr>
      <w:r>
        <w:t xml:space="preserve">not recognising and addressing </w:t>
      </w:r>
      <w:r w:rsidR="00225EA3">
        <w:t xml:space="preserve">problems with current </w:t>
      </w:r>
      <w:r w:rsidR="00D01815">
        <w:t>credit or RPL pr</w:t>
      </w:r>
      <w:r w:rsidR="00C76C3B">
        <w:t>ocedures</w:t>
      </w:r>
      <w:r w:rsidR="00225EA3">
        <w:t xml:space="preserve"> resulting in high attrition </w:t>
      </w:r>
      <w:r w:rsidR="00D01815">
        <w:t>or failure rates</w:t>
      </w:r>
      <w:r w:rsidR="00720766">
        <w:t>.</w:t>
      </w:r>
    </w:p>
    <w:p w14:paraId="1B4C7530" w14:textId="4BC17B15" w:rsidR="00D60BCC" w:rsidRDefault="00D60BCC" w:rsidP="00D60BCC">
      <w:pPr>
        <w:pStyle w:val="Heading3"/>
      </w:pPr>
      <w:r>
        <w:t xml:space="preserve">Related </w:t>
      </w:r>
      <w:r w:rsidRPr="00CA059E">
        <w:t>resources</w:t>
      </w:r>
    </w:p>
    <w:p w14:paraId="2A9B0486" w14:textId="25FDD775" w:rsidR="00261A05" w:rsidRPr="00261A05" w:rsidRDefault="00D4266D" w:rsidP="00243AF5">
      <w:pPr>
        <w:pStyle w:val="Bullet1"/>
        <w:numPr>
          <w:ilvl w:val="0"/>
          <w:numId w:val="13"/>
        </w:numPr>
        <w:rPr>
          <w:iCs/>
        </w:rPr>
      </w:pPr>
      <w:hyperlink r:id="rId17" w:history="1">
        <w:r w:rsidR="00261A05" w:rsidRPr="00261A05">
          <w:rPr>
            <w:rStyle w:val="Hyperlink"/>
            <w:iCs/>
          </w:rPr>
          <w:t>AQF Qualifications Pathways Policy</w:t>
        </w:r>
      </w:hyperlink>
    </w:p>
    <w:p w14:paraId="6014F35D" w14:textId="6A1F9466" w:rsidR="00261A05" w:rsidRPr="00261A05" w:rsidRDefault="00D4266D" w:rsidP="00243AF5">
      <w:pPr>
        <w:pStyle w:val="Bullet1"/>
        <w:numPr>
          <w:ilvl w:val="0"/>
          <w:numId w:val="13"/>
        </w:numPr>
        <w:rPr>
          <w:iCs/>
        </w:rPr>
      </w:pPr>
      <w:hyperlink r:id="rId18" w:history="1">
        <w:r w:rsidR="000A4BB3" w:rsidRPr="000A4BB3">
          <w:rPr>
            <w:rStyle w:val="Hyperlink"/>
            <w:iCs/>
          </w:rPr>
          <w:t>AQF Glossary</w:t>
        </w:r>
      </w:hyperlink>
    </w:p>
    <w:p w14:paraId="1887C5F8" w14:textId="549E8303" w:rsidR="00D60BCC" w:rsidRPr="00D60BCC" w:rsidRDefault="00D4266D" w:rsidP="00243AF5">
      <w:pPr>
        <w:pStyle w:val="Bullet1"/>
        <w:numPr>
          <w:ilvl w:val="0"/>
          <w:numId w:val="13"/>
        </w:numPr>
        <w:rPr>
          <w:iCs/>
        </w:rPr>
      </w:pPr>
      <w:hyperlink r:id="rId19" w:history="1">
        <w:r w:rsidR="00D60BCC" w:rsidRPr="00CA059E">
          <w:rPr>
            <w:rStyle w:val="Hyperlink"/>
            <w:iCs/>
          </w:rPr>
          <w:t xml:space="preserve">Guidance </w:t>
        </w:r>
        <w:proofErr w:type="gramStart"/>
        <w:r w:rsidR="00D60BCC" w:rsidRPr="00CA059E">
          <w:rPr>
            <w:rStyle w:val="Hyperlink"/>
            <w:iCs/>
          </w:rPr>
          <w:t>note</w:t>
        </w:r>
        <w:proofErr w:type="gramEnd"/>
        <w:r w:rsidR="00D60BCC" w:rsidRPr="00CA059E">
          <w:rPr>
            <w:rStyle w:val="Hyperlink"/>
            <w:iCs/>
          </w:rPr>
          <w:t>: Admissions (coursework)</w:t>
        </w:r>
      </w:hyperlink>
    </w:p>
    <w:p w14:paraId="2DE28CEE" w14:textId="428776AE" w:rsidR="00F14CCE" w:rsidRPr="00E00CCD" w:rsidRDefault="00D60BCC" w:rsidP="00243AF5">
      <w:pPr>
        <w:pStyle w:val="Bullet1"/>
        <w:numPr>
          <w:ilvl w:val="0"/>
          <w:numId w:val="13"/>
        </w:numPr>
        <w:rPr>
          <w:iCs/>
        </w:rPr>
      </w:pPr>
      <w:r w:rsidRPr="00E00CCD">
        <w:rPr>
          <w:iCs/>
        </w:rPr>
        <w:t xml:space="preserve">Guidance </w:t>
      </w:r>
      <w:proofErr w:type="gramStart"/>
      <w:r w:rsidRPr="00E00CCD">
        <w:rPr>
          <w:iCs/>
        </w:rPr>
        <w:t>note</w:t>
      </w:r>
      <w:proofErr w:type="gramEnd"/>
      <w:r w:rsidRPr="00E00CCD">
        <w:rPr>
          <w:iCs/>
        </w:rPr>
        <w:t>: Monitoring, Review, and Improvement (</w:t>
      </w:r>
      <w:r w:rsidR="00BD0F04" w:rsidRPr="00E00CCD">
        <w:rPr>
          <w:iCs/>
        </w:rPr>
        <w:t>in development</w:t>
      </w:r>
      <w:r w:rsidRPr="00E00CCD">
        <w:rPr>
          <w:iCs/>
        </w:rPr>
        <w:t>)</w:t>
      </w:r>
    </w:p>
    <w:p w14:paraId="6FD7EB78" w14:textId="5BA8F573" w:rsidR="00D60BCC" w:rsidRPr="00E00CCD" w:rsidRDefault="00D60BCC" w:rsidP="00243AF5">
      <w:pPr>
        <w:pStyle w:val="Bullet1"/>
        <w:numPr>
          <w:ilvl w:val="0"/>
          <w:numId w:val="13"/>
        </w:numPr>
        <w:rPr>
          <w:iCs/>
        </w:rPr>
      </w:pPr>
      <w:r w:rsidRPr="00E00CCD">
        <w:rPr>
          <w:iCs/>
        </w:rPr>
        <w:t xml:space="preserve">Guidance </w:t>
      </w:r>
      <w:proofErr w:type="gramStart"/>
      <w:r w:rsidRPr="00E00CCD">
        <w:rPr>
          <w:iCs/>
        </w:rPr>
        <w:t>note</w:t>
      </w:r>
      <w:proofErr w:type="gramEnd"/>
      <w:r w:rsidRPr="00E00CCD">
        <w:rPr>
          <w:iCs/>
        </w:rPr>
        <w:t>: Learning Outcomes and Assessment (</w:t>
      </w:r>
      <w:r w:rsidR="00AE4D79" w:rsidRPr="00E00CCD">
        <w:rPr>
          <w:iCs/>
        </w:rPr>
        <w:t>in development)</w:t>
      </w:r>
    </w:p>
    <w:p w14:paraId="7BDD1365" w14:textId="77777777" w:rsidR="00F01F43" w:rsidRPr="00065CC2" w:rsidRDefault="00F01F43" w:rsidP="00261A05">
      <w:pPr>
        <w:pStyle w:val="Bullet1"/>
        <w:numPr>
          <w:ilvl w:val="0"/>
          <w:numId w:val="0"/>
        </w:numPr>
        <w:rPr>
          <w:iCs/>
          <w:highlight w:val="yellow"/>
        </w:rPr>
      </w:pPr>
    </w:p>
    <w:p w14:paraId="68A07655" w14:textId="77777777" w:rsidR="00D60BCC" w:rsidRPr="00F14CCE" w:rsidRDefault="00D60BCC">
      <w:pPr>
        <w:rPr>
          <w:iCs/>
        </w:rPr>
      </w:pPr>
    </w:p>
    <w:tbl>
      <w:tblPr>
        <w:tblW w:w="9356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B759C1" w:rsidRPr="000F117B" w14:paraId="2C4C8AAF" w14:textId="77777777" w:rsidTr="00FC367A">
        <w:trPr>
          <w:tblHeader/>
        </w:trPr>
        <w:tc>
          <w:tcPr>
            <w:tcW w:w="1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7383" w14:textId="64384C76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Version #</w:t>
            </w:r>
          </w:p>
        </w:tc>
        <w:tc>
          <w:tcPr>
            <w:tcW w:w="212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F51F0" w14:textId="77777777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Date</w:t>
            </w:r>
          </w:p>
        </w:tc>
        <w:tc>
          <w:tcPr>
            <w:tcW w:w="595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74CDC" w14:textId="77777777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Key changes</w:t>
            </w:r>
          </w:p>
        </w:tc>
      </w:tr>
      <w:tr w:rsidR="00872FC7" w:rsidRPr="000F117B" w14:paraId="6E946C88" w14:textId="77777777" w:rsidTr="009F5D9A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31AC" w14:textId="1809F0C3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3BA6" w14:textId="506633EB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 October 2017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1091" w14:textId="7BE2985B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Made available as beta version for consultation.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</w:tr>
      <w:tr w:rsidR="00872FC7" w:rsidRPr="000F117B" w14:paraId="0884893F" w14:textId="77777777" w:rsidTr="009F5D9A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FF0" w14:textId="3EFBE108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EEA1" w14:textId="5FF4C10D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  <w:highlight w:val="yellow"/>
              </w:rPr>
            </w:pPr>
            <w:r w:rsidRPr="00653910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 xml:space="preserve"> March 2019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8B87" w14:textId="4B9F050F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Amended in response to consultation feedback.</w:t>
            </w:r>
          </w:p>
        </w:tc>
      </w:tr>
      <w:tr w:rsidR="00872FC7" w:rsidRPr="000F117B" w14:paraId="5C1981F5" w14:textId="77777777" w:rsidTr="009F5D9A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E923" w14:textId="2FEFB134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C6D7" w14:textId="7FC4F648" w:rsidR="00872FC7" w:rsidRPr="00C95EAF" w:rsidRDefault="00FC367A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July 2023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F6A6" w14:textId="77777777" w:rsidR="00AA7DEA" w:rsidRDefault="00AA7DEA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Major revision. </w:t>
            </w:r>
          </w:p>
          <w:p w14:paraId="697FCBBB" w14:textId="77777777" w:rsidR="00AA7DEA" w:rsidRDefault="00AA7DEA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</w:p>
          <w:p w14:paraId="3B3E3239" w14:textId="2FA4EB2D" w:rsidR="00AA7DEA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Amended to</w:t>
            </w:r>
            <w:r w:rsidR="00AA7DEA">
              <w:rPr>
                <w:noProof/>
                <w:sz w:val="20"/>
                <w:szCs w:val="20"/>
              </w:rPr>
              <w:t xml:space="preserve"> incorporate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AA7DEA">
              <w:rPr>
                <w:noProof/>
                <w:sz w:val="20"/>
                <w:szCs w:val="20"/>
              </w:rPr>
              <w:t xml:space="preserve">updates to the </w:t>
            </w:r>
            <w:r w:rsidR="00141301">
              <w:rPr>
                <w:noProof/>
                <w:sz w:val="20"/>
                <w:szCs w:val="20"/>
              </w:rPr>
              <w:t>Threshold Standards</w:t>
            </w:r>
            <w:r w:rsidR="00121270">
              <w:rPr>
                <w:noProof/>
                <w:sz w:val="20"/>
                <w:szCs w:val="20"/>
              </w:rPr>
              <w:t>.</w:t>
            </w:r>
          </w:p>
        </w:tc>
      </w:tr>
    </w:tbl>
    <w:p w14:paraId="0B96EDD7" w14:textId="77777777" w:rsidR="007C69C4" w:rsidRPr="00C95EAF" w:rsidRDefault="007C69C4" w:rsidP="00196194">
      <w:pPr>
        <w:pStyle w:val="BulletsL1"/>
        <w:numPr>
          <w:ilvl w:val="0"/>
          <w:numId w:val="0"/>
        </w:numPr>
        <w:rPr>
          <w:rFonts w:cs="Arial"/>
          <w:noProof/>
          <w:lang w:val="en-AU"/>
        </w:rPr>
      </w:pPr>
    </w:p>
    <w:sectPr w:rsidR="007C69C4" w:rsidRPr="00C95EAF" w:rsidSect="00453597">
      <w:headerReference w:type="default" r:id="rId20"/>
      <w:footerReference w:type="default" r:id="rId21"/>
      <w:pgSz w:w="11906" w:h="16838"/>
      <w:pgMar w:top="1985" w:right="849" w:bottom="1418" w:left="1440" w:header="567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1699" w14:textId="77777777" w:rsidR="000C313A" w:rsidRDefault="000C313A" w:rsidP="006C328D">
      <w:pPr>
        <w:spacing w:before="0" w:after="0"/>
      </w:pPr>
      <w:r>
        <w:separator/>
      </w:r>
    </w:p>
  </w:endnote>
  <w:endnote w:type="continuationSeparator" w:id="0">
    <w:p w14:paraId="16AC22FB" w14:textId="77777777" w:rsidR="000C313A" w:rsidRDefault="000C313A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101057" w14:textId="77777777" w:rsidR="009F5D9A" w:rsidRPr="00FF2540" w:rsidRDefault="009F5D9A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757977">
              <w:rPr>
                <w:color w:val="004D7D"/>
                <w:sz w:val="20"/>
                <w:szCs w:val="20"/>
              </w:rPr>
              <w:t xml:space="preserve">Page 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instrText xml:space="preserve"> PAGE </w:instrTex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Pr="00757977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  <w:r w:rsidRPr="00757977">
              <w:rPr>
                <w:color w:val="004D7D"/>
                <w:sz w:val="20"/>
                <w:szCs w:val="20"/>
              </w:rPr>
              <w:t xml:space="preserve"> of 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instrText xml:space="preserve"> NUMPAGES  </w:instrTex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Pr="00757977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</w:p>
        </w:sdtContent>
      </w:sdt>
    </w:sdtContent>
  </w:sdt>
  <w:p w14:paraId="294FC6DA" w14:textId="77777777" w:rsidR="009F5D9A" w:rsidRDefault="009F5D9A" w:rsidP="00AE1FD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E0EE" w14:textId="77777777" w:rsidR="000C313A" w:rsidRDefault="000C313A" w:rsidP="006C328D">
      <w:pPr>
        <w:spacing w:before="0" w:after="0"/>
      </w:pPr>
      <w:r>
        <w:separator/>
      </w:r>
    </w:p>
  </w:footnote>
  <w:footnote w:type="continuationSeparator" w:id="0">
    <w:p w14:paraId="10D85A11" w14:textId="77777777" w:rsidR="000C313A" w:rsidRDefault="000C313A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C76" w14:textId="09555207" w:rsidR="009F5D9A" w:rsidRPr="006C328D" w:rsidRDefault="009F5D9A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1521EB7" wp14:editId="46710E59">
          <wp:extent cx="3228975" cy="476067"/>
          <wp:effectExtent l="0" t="0" r="0" b="635"/>
          <wp:docPr id="31" name="Picture 31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 w:rsidR="00BE0F27">
      <w:rPr>
        <w:noProof/>
      </w:rPr>
      <w:drawing>
        <wp:inline distT="0" distB="0" distL="0" distR="0" wp14:anchorId="293883F4" wp14:editId="782ADDF6">
          <wp:extent cx="1431664" cy="372552"/>
          <wp:effectExtent l="0" t="0" r="0" b="889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9529" cy="38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1FE541A5"/>
    <w:multiLevelType w:val="multilevel"/>
    <w:tmpl w:val="63D68E2A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4E7D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720" w:hanging="360"/>
      </w:pPr>
      <w:rPr>
        <w:rFonts w:ascii="Webdings" w:hAnsi="Webdings" w:hint="default"/>
        <w:color w:val="00A6A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720" w:hanging="360"/>
      </w:pPr>
      <w:rPr>
        <w:rFonts w:ascii="Webdings" w:hAnsi="Webdings" w:hint="default"/>
        <w:color w:val="00485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5A332E"/>
    <w:multiLevelType w:val="multilevel"/>
    <w:tmpl w:val="0D3026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4E7D"/>
      </w:rPr>
    </w:lvl>
    <w:lvl w:ilvl="2">
      <w:start w:val="1"/>
      <w:numFmt w:val="bullet"/>
      <w:pStyle w:val="Bullet3"/>
      <w:lvlText w:val="»"/>
      <w:lvlJc w:val="left"/>
      <w:pPr>
        <w:ind w:left="710" w:hanging="284"/>
      </w:pPr>
      <w:rPr>
        <w:rFonts w:ascii="Arial" w:hAnsi="Arial" w:hint="default"/>
        <w:color w:val="004E7D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7A6075"/>
    <w:multiLevelType w:val="hybridMultilevel"/>
    <w:tmpl w:val="618CB63E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7B831E56"/>
    <w:multiLevelType w:val="hybridMultilevel"/>
    <w:tmpl w:val="A3161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96D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3302816">
    <w:abstractNumId w:val="15"/>
  </w:num>
  <w:num w:numId="2" w16cid:durableId="706489164">
    <w:abstractNumId w:val="13"/>
  </w:num>
  <w:num w:numId="3" w16cid:durableId="1167551701">
    <w:abstractNumId w:val="11"/>
  </w:num>
  <w:num w:numId="4" w16cid:durableId="1883979341">
    <w:abstractNumId w:val="10"/>
  </w:num>
  <w:num w:numId="5" w16cid:durableId="1415322948">
    <w:abstractNumId w:val="8"/>
  </w:num>
  <w:num w:numId="6" w16cid:durableId="1469516375">
    <w:abstractNumId w:val="3"/>
  </w:num>
  <w:num w:numId="7" w16cid:durableId="1507358132">
    <w:abstractNumId w:val="4"/>
  </w:num>
  <w:num w:numId="8" w16cid:durableId="29425849">
    <w:abstractNumId w:val="5"/>
  </w:num>
  <w:num w:numId="9" w16cid:durableId="1896578489">
    <w:abstractNumId w:val="9"/>
  </w:num>
  <w:num w:numId="10" w16cid:durableId="30887420">
    <w:abstractNumId w:val="7"/>
  </w:num>
  <w:num w:numId="11" w16cid:durableId="1894535913">
    <w:abstractNumId w:val="12"/>
  </w:num>
  <w:num w:numId="12" w16cid:durableId="1163662144">
    <w:abstractNumId w:val="14"/>
  </w:num>
  <w:num w:numId="13" w16cid:durableId="1142042010">
    <w:abstractNumId w:val="0"/>
  </w:num>
  <w:num w:numId="14" w16cid:durableId="2047438741">
    <w:abstractNumId w:val="0"/>
  </w:num>
  <w:num w:numId="15" w16cid:durableId="578322219">
    <w:abstractNumId w:val="6"/>
  </w:num>
  <w:num w:numId="16" w16cid:durableId="2079546575">
    <w:abstractNumId w:val="2"/>
  </w:num>
  <w:num w:numId="17" w16cid:durableId="119095188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018C1"/>
    <w:rsid w:val="00002015"/>
    <w:rsid w:val="000034A0"/>
    <w:rsid w:val="00005BFD"/>
    <w:rsid w:val="000103BA"/>
    <w:rsid w:val="00014F9D"/>
    <w:rsid w:val="0002032A"/>
    <w:rsid w:val="00022B45"/>
    <w:rsid w:val="000342DB"/>
    <w:rsid w:val="000377FF"/>
    <w:rsid w:val="00040A3A"/>
    <w:rsid w:val="000413EC"/>
    <w:rsid w:val="00047FB3"/>
    <w:rsid w:val="00054E40"/>
    <w:rsid w:val="00055F9D"/>
    <w:rsid w:val="00056406"/>
    <w:rsid w:val="00057F4B"/>
    <w:rsid w:val="00061CF7"/>
    <w:rsid w:val="00065CC2"/>
    <w:rsid w:val="0007028B"/>
    <w:rsid w:val="000707C1"/>
    <w:rsid w:val="00071592"/>
    <w:rsid w:val="00071696"/>
    <w:rsid w:val="00072880"/>
    <w:rsid w:val="000754E5"/>
    <w:rsid w:val="000766E4"/>
    <w:rsid w:val="00082CF7"/>
    <w:rsid w:val="00085EED"/>
    <w:rsid w:val="00087B74"/>
    <w:rsid w:val="00091FD4"/>
    <w:rsid w:val="00092BA4"/>
    <w:rsid w:val="0009345C"/>
    <w:rsid w:val="000944B4"/>
    <w:rsid w:val="00097AD5"/>
    <w:rsid w:val="000A360E"/>
    <w:rsid w:val="000A4BB3"/>
    <w:rsid w:val="000A60F3"/>
    <w:rsid w:val="000B0BA9"/>
    <w:rsid w:val="000B2678"/>
    <w:rsid w:val="000B49DC"/>
    <w:rsid w:val="000B7097"/>
    <w:rsid w:val="000B7D25"/>
    <w:rsid w:val="000C0AB6"/>
    <w:rsid w:val="000C313A"/>
    <w:rsid w:val="000C4D9B"/>
    <w:rsid w:val="000D03F5"/>
    <w:rsid w:val="000D3CA6"/>
    <w:rsid w:val="000D461A"/>
    <w:rsid w:val="000E510F"/>
    <w:rsid w:val="000E5FBD"/>
    <w:rsid w:val="000E688F"/>
    <w:rsid w:val="000F00DE"/>
    <w:rsid w:val="000F117B"/>
    <w:rsid w:val="000F26A9"/>
    <w:rsid w:val="000F3699"/>
    <w:rsid w:val="00100520"/>
    <w:rsid w:val="00102AA9"/>
    <w:rsid w:val="00105BF9"/>
    <w:rsid w:val="001062BA"/>
    <w:rsid w:val="00106E1A"/>
    <w:rsid w:val="00107D1B"/>
    <w:rsid w:val="00110077"/>
    <w:rsid w:val="001126FD"/>
    <w:rsid w:val="00113EB6"/>
    <w:rsid w:val="00114FB5"/>
    <w:rsid w:val="00116A17"/>
    <w:rsid w:val="00121270"/>
    <w:rsid w:val="001234CA"/>
    <w:rsid w:val="00123CE3"/>
    <w:rsid w:val="00124AE5"/>
    <w:rsid w:val="00126E4D"/>
    <w:rsid w:val="00131429"/>
    <w:rsid w:val="00132748"/>
    <w:rsid w:val="0013298A"/>
    <w:rsid w:val="00134DD1"/>
    <w:rsid w:val="0014071F"/>
    <w:rsid w:val="00140F62"/>
    <w:rsid w:val="00141301"/>
    <w:rsid w:val="001440A7"/>
    <w:rsid w:val="001473A3"/>
    <w:rsid w:val="00152D17"/>
    <w:rsid w:val="00152EEE"/>
    <w:rsid w:val="001561CC"/>
    <w:rsid w:val="00157FC1"/>
    <w:rsid w:val="001605C4"/>
    <w:rsid w:val="00163015"/>
    <w:rsid w:val="00164942"/>
    <w:rsid w:val="001707A3"/>
    <w:rsid w:val="00171319"/>
    <w:rsid w:val="00181D75"/>
    <w:rsid w:val="00181F0E"/>
    <w:rsid w:val="00183BDA"/>
    <w:rsid w:val="0018457A"/>
    <w:rsid w:val="001845B1"/>
    <w:rsid w:val="001910C8"/>
    <w:rsid w:val="001937CF"/>
    <w:rsid w:val="00194D16"/>
    <w:rsid w:val="00196194"/>
    <w:rsid w:val="00196F2D"/>
    <w:rsid w:val="001A01D8"/>
    <w:rsid w:val="001A5D34"/>
    <w:rsid w:val="001A7DEF"/>
    <w:rsid w:val="001B13E9"/>
    <w:rsid w:val="001B7510"/>
    <w:rsid w:val="001C1C22"/>
    <w:rsid w:val="001C1EC9"/>
    <w:rsid w:val="001C43A2"/>
    <w:rsid w:val="001C57CB"/>
    <w:rsid w:val="001C68AB"/>
    <w:rsid w:val="001D13AE"/>
    <w:rsid w:val="001F0787"/>
    <w:rsid w:val="001F1065"/>
    <w:rsid w:val="001F205F"/>
    <w:rsid w:val="001F2D49"/>
    <w:rsid w:val="001F39F5"/>
    <w:rsid w:val="001F3B80"/>
    <w:rsid w:val="001F58B9"/>
    <w:rsid w:val="001F6F54"/>
    <w:rsid w:val="002019A1"/>
    <w:rsid w:val="00204BC7"/>
    <w:rsid w:val="002073FF"/>
    <w:rsid w:val="002075C2"/>
    <w:rsid w:val="00210D74"/>
    <w:rsid w:val="00211B9C"/>
    <w:rsid w:val="00213598"/>
    <w:rsid w:val="00215A66"/>
    <w:rsid w:val="002238DF"/>
    <w:rsid w:val="0022469E"/>
    <w:rsid w:val="00225EA3"/>
    <w:rsid w:val="00233FDD"/>
    <w:rsid w:val="002363AF"/>
    <w:rsid w:val="002364BE"/>
    <w:rsid w:val="0024175C"/>
    <w:rsid w:val="002420FD"/>
    <w:rsid w:val="0024219C"/>
    <w:rsid w:val="00242E49"/>
    <w:rsid w:val="00243AF5"/>
    <w:rsid w:val="00244814"/>
    <w:rsid w:val="00244D59"/>
    <w:rsid w:val="00252404"/>
    <w:rsid w:val="0025248A"/>
    <w:rsid w:val="002534F8"/>
    <w:rsid w:val="00253EE0"/>
    <w:rsid w:val="00255EA2"/>
    <w:rsid w:val="00261A05"/>
    <w:rsid w:val="00276729"/>
    <w:rsid w:val="00276C2E"/>
    <w:rsid w:val="002770FF"/>
    <w:rsid w:val="00281A38"/>
    <w:rsid w:val="0028229D"/>
    <w:rsid w:val="002835AD"/>
    <w:rsid w:val="0028544F"/>
    <w:rsid w:val="00285FAC"/>
    <w:rsid w:val="002866BA"/>
    <w:rsid w:val="00290A76"/>
    <w:rsid w:val="00292A57"/>
    <w:rsid w:val="002955EE"/>
    <w:rsid w:val="002968FE"/>
    <w:rsid w:val="002A0F67"/>
    <w:rsid w:val="002A2B6C"/>
    <w:rsid w:val="002A56DB"/>
    <w:rsid w:val="002A5D27"/>
    <w:rsid w:val="002A7000"/>
    <w:rsid w:val="002A7DBA"/>
    <w:rsid w:val="002B0C1A"/>
    <w:rsid w:val="002B23DF"/>
    <w:rsid w:val="002B2BD2"/>
    <w:rsid w:val="002B4967"/>
    <w:rsid w:val="002C34A6"/>
    <w:rsid w:val="002C5F51"/>
    <w:rsid w:val="002C794A"/>
    <w:rsid w:val="002C7E4F"/>
    <w:rsid w:val="002D4A07"/>
    <w:rsid w:val="002D5C5E"/>
    <w:rsid w:val="002E5D7C"/>
    <w:rsid w:val="002E6B3B"/>
    <w:rsid w:val="002F06CD"/>
    <w:rsid w:val="002F0838"/>
    <w:rsid w:val="002F1FD6"/>
    <w:rsid w:val="002F204F"/>
    <w:rsid w:val="002F2D72"/>
    <w:rsid w:val="002F7389"/>
    <w:rsid w:val="0030065D"/>
    <w:rsid w:val="0030651C"/>
    <w:rsid w:val="00306EDD"/>
    <w:rsid w:val="0030770C"/>
    <w:rsid w:val="003124B9"/>
    <w:rsid w:val="003204C6"/>
    <w:rsid w:val="003210A6"/>
    <w:rsid w:val="003213FA"/>
    <w:rsid w:val="0032329A"/>
    <w:rsid w:val="0032459E"/>
    <w:rsid w:val="00325099"/>
    <w:rsid w:val="0033210F"/>
    <w:rsid w:val="00333DC1"/>
    <w:rsid w:val="00334C2A"/>
    <w:rsid w:val="00335897"/>
    <w:rsid w:val="00336483"/>
    <w:rsid w:val="0034020D"/>
    <w:rsid w:val="00340768"/>
    <w:rsid w:val="00343A0A"/>
    <w:rsid w:val="00344911"/>
    <w:rsid w:val="00344AE4"/>
    <w:rsid w:val="00344CDA"/>
    <w:rsid w:val="00345122"/>
    <w:rsid w:val="00345AA5"/>
    <w:rsid w:val="00350B0F"/>
    <w:rsid w:val="00350C0A"/>
    <w:rsid w:val="00350F2E"/>
    <w:rsid w:val="00352408"/>
    <w:rsid w:val="00352B57"/>
    <w:rsid w:val="00355B8D"/>
    <w:rsid w:val="00355B99"/>
    <w:rsid w:val="00363AA3"/>
    <w:rsid w:val="0036638A"/>
    <w:rsid w:val="003678F1"/>
    <w:rsid w:val="00370759"/>
    <w:rsid w:val="003716A4"/>
    <w:rsid w:val="0037287E"/>
    <w:rsid w:val="003734A8"/>
    <w:rsid w:val="003778EB"/>
    <w:rsid w:val="003823FE"/>
    <w:rsid w:val="0038419A"/>
    <w:rsid w:val="00384709"/>
    <w:rsid w:val="00386918"/>
    <w:rsid w:val="00392C84"/>
    <w:rsid w:val="00394632"/>
    <w:rsid w:val="003A0BD3"/>
    <w:rsid w:val="003A47CC"/>
    <w:rsid w:val="003A56EB"/>
    <w:rsid w:val="003B092D"/>
    <w:rsid w:val="003B1090"/>
    <w:rsid w:val="003B5CBC"/>
    <w:rsid w:val="003C0410"/>
    <w:rsid w:val="003C559A"/>
    <w:rsid w:val="003C56A1"/>
    <w:rsid w:val="003C63C2"/>
    <w:rsid w:val="003D4E12"/>
    <w:rsid w:val="003D549B"/>
    <w:rsid w:val="003D5815"/>
    <w:rsid w:val="003E02F2"/>
    <w:rsid w:val="003E0BCC"/>
    <w:rsid w:val="003E0DFA"/>
    <w:rsid w:val="003E4D06"/>
    <w:rsid w:val="003E5248"/>
    <w:rsid w:val="003F2713"/>
    <w:rsid w:val="003F307C"/>
    <w:rsid w:val="003F581D"/>
    <w:rsid w:val="003F7443"/>
    <w:rsid w:val="003F75C3"/>
    <w:rsid w:val="004025FE"/>
    <w:rsid w:val="00402F32"/>
    <w:rsid w:val="00404881"/>
    <w:rsid w:val="00410423"/>
    <w:rsid w:val="00411901"/>
    <w:rsid w:val="004126B0"/>
    <w:rsid w:val="00412DD9"/>
    <w:rsid w:val="00417B39"/>
    <w:rsid w:val="00421DF9"/>
    <w:rsid w:val="00421E22"/>
    <w:rsid w:val="004240B5"/>
    <w:rsid w:val="00425637"/>
    <w:rsid w:val="00425EA1"/>
    <w:rsid w:val="00426114"/>
    <w:rsid w:val="004275A2"/>
    <w:rsid w:val="004304A0"/>
    <w:rsid w:val="004316DC"/>
    <w:rsid w:val="004329D1"/>
    <w:rsid w:val="00435362"/>
    <w:rsid w:val="00436E67"/>
    <w:rsid w:val="00437DEB"/>
    <w:rsid w:val="0044410E"/>
    <w:rsid w:val="00451687"/>
    <w:rsid w:val="00453597"/>
    <w:rsid w:val="00453E90"/>
    <w:rsid w:val="00455DEF"/>
    <w:rsid w:val="00455F60"/>
    <w:rsid w:val="0045740F"/>
    <w:rsid w:val="00465A13"/>
    <w:rsid w:val="004677FD"/>
    <w:rsid w:val="0048160D"/>
    <w:rsid w:val="00484490"/>
    <w:rsid w:val="004854F4"/>
    <w:rsid w:val="00495B5B"/>
    <w:rsid w:val="00497C7C"/>
    <w:rsid w:val="004A076E"/>
    <w:rsid w:val="004A09F6"/>
    <w:rsid w:val="004A438F"/>
    <w:rsid w:val="004A4879"/>
    <w:rsid w:val="004B0EA6"/>
    <w:rsid w:val="004B2444"/>
    <w:rsid w:val="004C020E"/>
    <w:rsid w:val="004C20B3"/>
    <w:rsid w:val="004C39E3"/>
    <w:rsid w:val="004C5185"/>
    <w:rsid w:val="004C569B"/>
    <w:rsid w:val="004C6C45"/>
    <w:rsid w:val="004D2471"/>
    <w:rsid w:val="004D3F1D"/>
    <w:rsid w:val="004E5C4D"/>
    <w:rsid w:val="004E6134"/>
    <w:rsid w:val="004E7A10"/>
    <w:rsid w:val="004F0130"/>
    <w:rsid w:val="004F09A5"/>
    <w:rsid w:val="004F190C"/>
    <w:rsid w:val="004F1B3E"/>
    <w:rsid w:val="004F3048"/>
    <w:rsid w:val="004F3A53"/>
    <w:rsid w:val="004F5D9C"/>
    <w:rsid w:val="004F7E8A"/>
    <w:rsid w:val="00503AB3"/>
    <w:rsid w:val="00506699"/>
    <w:rsid w:val="00506C5C"/>
    <w:rsid w:val="00511505"/>
    <w:rsid w:val="00512B6C"/>
    <w:rsid w:val="00513E63"/>
    <w:rsid w:val="00514218"/>
    <w:rsid w:val="00516F60"/>
    <w:rsid w:val="00524886"/>
    <w:rsid w:val="00525720"/>
    <w:rsid w:val="00525D66"/>
    <w:rsid w:val="005300D5"/>
    <w:rsid w:val="00537DB0"/>
    <w:rsid w:val="005410A8"/>
    <w:rsid w:val="00541321"/>
    <w:rsid w:val="005424C2"/>
    <w:rsid w:val="00543277"/>
    <w:rsid w:val="00545F0E"/>
    <w:rsid w:val="00550214"/>
    <w:rsid w:val="00550D0B"/>
    <w:rsid w:val="005510AF"/>
    <w:rsid w:val="00552A2D"/>
    <w:rsid w:val="00553E37"/>
    <w:rsid w:val="00555161"/>
    <w:rsid w:val="0056238D"/>
    <w:rsid w:val="00562952"/>
    <w:rsid w:val="00562EE5"/>
    <w:rsid w:val="00563CE9"/>
    <w:rsid w:val="00565155"/>
    <w:rsid w:val="00566BAA"/>
    <w:rsid w:val="00571736"/>
    <w:rsid w:val="00582D53"/>
    <w:rsid w:val="00587DDA"/>
    <w:rsid w:val="00593FF3"/>
    <w:rsid w:val="0059539E"/>
    <w:rsid w:val="0059693A"/>
    <w:rsid w:val="005A2D92"/>
    <w:rsid w:val="005A4369"/>
    <w:rsid w:val="005B458E"/>
    <w:rsid w:val="005B6A0C"/>
    <w:rsid w:val="005B7808"/>
    <w:rsid w:val="005C29C9"/>
    <w:rsid w:val="005C51B5"/>
    <w:rsid w:val="005C5C91"/>
    <w:rsid w:val="005D09B1"/>
    <w:rsid w:val="005D3C28"/>
    <w:rsid w:val="005D3F2B"/>
    <w:rsid w:val="005D52D0"/>
    <w:rsid w:val="005D6886"/>
    <w:rsid w:val="005E1862"/>
    <w:rsid w:val="005E3F68"/>
    <w:rsid w:val="005E727A"/>
    <w:rsid w:val="005E79E5"/>
    <w:rsid w:val="005F7037"/>
    <w:rsid w:val="005F760D"/>
    <w:rsid w:val="00600277"/>
    <w:rsid w:val="006009B0"/>
    <w:rsid w:val="00603684"/>
    <w:rsid w:val="0060784D"/>
    <w:rsid w:val="00614871"/>
    <w:rsid w:val="00616BF6"/>
    <w:rsid w:val="00617862"/>
    <w:rsid w:val="00620E25"/>
    <w:rsid w:val="00620F17"/>
    <w:rsid w:val="00620F33"/>
    <w:rsid w:val="00622FA1"/>
    <w:rsid w:val="006262D8"/>
    <w:rsid w:val="006265D4"/>
    <w:rsid w:val="00627B74"/>
    <w:rsid w:val="00631335"/>
    <w:rsid w:val="00634003"/>
    <w:rsid w:val="00641C46"/>
    <w:rsid w:val="00642955"/>
    <w:rsid w:val="0064328F"/>
    <w:rsid w:val="00646AAE"/>
    <w:rsid w:val="00651286"/>
    <w:rsid w:val="0065301B"/>
    <w:rsid w:val="00656932"/>
    <w:rsid w:val="00656F2C"/>
    <w:rsid w:val="00657418"/>
    <w:rsid w:val="00661029"/>
    <w:rsid w:val="00663306"/>
    <w:rsid w:val="0066531B"/>
    <w:rsid w:val="0066741F"/>
    <w:rsid w:val="00670780"/>
    <w:rsid w:val="00671ABE"/>
    <w:rsid w:val="0067396C"/>
    <w:rsid w:val="00673F43"/>
    <w:rsid w:val="0068247D"/>
    <w:rsid w:val="00686D03"/>
    <w:rsid w:val="006908BA"/>
    <w:rsid w:val="00691462"/>
    <w:rsid w:val="006940BA"/>
    <w:rsid w:val="00694912"/>
    <w:rsid w:val="00696468"/>
    <w:rsid w:val="00696B8F"/>
    <w:rsid w:val="006A3536"/>
    <w:rsid w:val="006A420F"/>
    <w:rsid w:val="006A46A8"/>
    <w:rsid w:val="006A730B"/>
    <w:rsid w:val="006A73E7"/>
    <w:rsid w:val="006A7631"/>
    <w:rsid w:val="006A7F50"/>
    <w:rsid w:val="006B0B86"/>
    <w:rsid w:val="006B1F26"/>
    <w:rsid w:val="006B2B2D"/>
    <w:rsid w:val="006B32EA"/>
    <w:rsid w:val="006B4435"/>
    <w:rsid w:val="006C328D"/>
    <w:rsid w:val="006C4CBB"/>
    <w:rsid w:val="006C5AC7"/>
    <w:rsid w:val="006D17A1"/>
    <w:rsid w:val="006D257A"/>
    <w:rsid w:val="006D3402"/>
    <w:rsid w:val="006D351C"/>
    <w:rsid w:val="006D3C1C"/>
    <w:rsid w:val="006E143D"/>
    <w:rsid w:val="006E3AA7"/>
    <w:rsid w:val="006E4B99"/>
    <w:rsid w:val="006E54DE"/>
    <w:rsid w:val="006F0EB2"/>
    <w:rsid w:val="006F4041"/>
    <w:rsid w:val="006F7488"/>
    <w:rsid w:val="006F79B0"/>
    <w:rsid w:val="00703469"/>
    <w:rsid w:val="00703B30"/>
    <w:rsid w:val="007101C6"/>
    <w:rsid w:val="007121BF"/>
    <w:rsid w:val="00713B43"/>
    <w:rsid w:val="007148AD"/>
    <w:rsid w:val="00720766"/>
    <w:rsid w:val="0072176E"/>
    <w:rsid w:val="00726605"/>
    <w:rsid w:val="00726CC7"/>
    <w:rsid w:val="00727494"/>
    <w:rsid w:val="00733596"/>
    <w:rsid w:val="00734B93"/>
    <w:rsid w:val="007409CB"/>
    <w:rsid w:val="007447C1"/>
    <w:rsid w:val="00746FD1"/>
    <w:rsid w:val="0075059A"/>
    <w:rsid w:val="00751991"/>
    <w:rsid w:val="00754FB9"/>
    <w:rsid w:val="00757977"/>
    <w:rsid w:val="007626A4"/>
    <w:rsid w:val="0076372D"/>
    <w:rsid w:val="00764CA7"/>
    <w:rsid w:val="00770C2B"/>
    <w:rsid w:val="00772E72"/>
    <w:rsid w:val="007760B8"/>
    <w:rsid w:val="00776501"/>
    <w:rsid w:val="00781191"/>
    <w:rsid w:val="007822F4"/>
    <w:rsid w:val="007921C9"/>
    <w:rsid w:val="00792976"/>
    <w:rsid w:val="00793A7D"/>
    <w:rsid w:val="007952AF"/>
    <w:rsid w:val="00795C9D"/>
    <w:rsid w:val="007B01C8"/>
    <w:rsid w:val="007B13B9"/>
    <w:rsid w:val="007B36ED"/>
    <w:rsid w:val="007B4E65"/>
    <w:rsid w:val="007B7234"/>
    <w:rsid w:val="007B730D"/>
    <w:rsid w:val="007B77C7"/>
    <w:rsid w:val="007C2827"/>
    <w:rsid w:val="007C32EE"/>
    <w:rsid w:val="007C423A"/>
    <w:rsid w:val="007C4501"/>
    <w:rsid w:val="007C69C4"/>
    <w:rsid w:val="007C76A1"/>
    <w:rsid w:val="007D115E"/>
    <w:rsid w:val="007D4F47"/>
    <w:rsid w:val="007D51C7"/>
    <w:rsid w:val="007F00B4"/>
    <w:rsid w:val="007F12EC"/>
    <w:rsid w:val="007F1708"/>
    <w:rsid w:val="007F3A02"/>
    <w:rsid w:val="007F3D0D"/>
    <w:rsid w:val="007F59E6"/>
    <w:rsid w:val="007F78F7"/>
    <w:rsid w:val="00801A19"/>
    <w:rsid w:val="00802261"/>
    <w:rsid w:val="008037A6"/>
    <w:rsid w:val="00805B6F"/>
    <w:rsid w:val="00807BDA"/>
    <w:rsid w:val="008109BC"/>
    <w:rsid w:val="00811EC2"/>
    <w:rsid w:val="00813DF0"/>
    <w:rsid w:val="00817324"/>
    <w:rsid w:val="00823257"/>
    <w:rsid w:val="008300B8"/>
    <w:rsid w:val="00832920"/>
    <w:rsid w:val="00834A6E"/>
    <w:rsid w:val="00836815"/>
    <w:rsid w:val="00837FCD"/>
    <w:rsid w:val="00844EE8"/>
    <w:rsid w:val="00845356"/>
    <w:rsid w:val="0085214B"/>
    <w:rsid w:val="00853F0B"/>
    <w:rsid w:val="00854C1D"/>
    <w:rsid w:val="00854F82"/>
    <w:rsid w:val="00855823"/>
    <w:rsid w:val="00855952"/>
    <w:rsid w:val="008569FD"/>
    <w:rsid w:val="00861EEA"/>
    <w:rsid w:val="0086426F"/>
    <w:rsid w:val="008646EE"/>
    <w:rsid w:val="00864F3F"/>
    <w:rsid w:val="008709DD"/>
    <w:rsid w:val="008724D7"/>
    <w:rsid w:val="00872722"/>
    <w:rsid w:val="00872FC7"/>
    <w:rsid w:val="0087675E"/>
    <w:rsid w:val="00880DE1"/>
    <w:rsid w:val="00883173"/>
    <w:rsid w:val="008835CA"/>
    <w:rsid w:val="0088407A"/>
    <w:rsid w:val="008861F4"/>
    <w:rsid w:val="00886C55"/>
    <w:rsid w:val="00893420"/>
    <w:rsid w:val="008945CC"/>
    <w:rsid w:val="0089776B"/>
    <w:rsid w:val="008A1197"/>
    <w:rsid w:val="008A2F33"/>
    <w:rsid w:val="008A58B3"/>
    <w:rsid w:val="008A5E07"/>
    <w:rsid w:val="008A781D"/>
    <w:rsid w:val="008B0410"/>
    <w:rsid w:val="008B2322"/>
    <w:rsid w:val="008B3F3C"/>
    <w:rsid w:val="008B63C8"/>
    <w:rsid w:val="008C08FB"/>
    <w:rsid w:val="008C3F0D"/>
    <w:rsid w:val="008C64D2"/>
    <w:rsid w:val="008C6E4F"/>
    <w:rsid w:val="008C7FA0"/>
    <w:rsid w:val="008D0EB4"/>
    <w:rsid w:val="008D244A"/>
    <w:rsid w:val="008D56DF"/>
    <w:rsid w:val="008D57F8"/>
    <w:rsid w:val="008D7162"/>
    <w:rsid w:val="008E44BA"/>
    <w:rsid w:val="008E7C67"/>
    <w:rsid w:val="008F0AA3"/>
    <w:rsid w:val="008F4CD9"/>
    <w:rsid w:val="0090146D"/>
    <w:rsid w:val="00903D86"/>
    <w:rsid w:val="009136B7"/>
    <w:rsid w:val="0091376E"/>
    <w:rsid w:val="00915932"/>
    <w:rsid w:val="0092113C"/>
    <w:rsid w:val="00922B59"/>
    <w:rsid w:val="00923803"/>
    <w:rsid w:val="00924600"/>
    <w:rsid w:val="00931BE8"/>
    <w:rsid w:val="00932F86"/>
    <w:rsid w:val="00933C31"/>
    <w:rsid w:val="0093760C"/>
    <w:rsid w:val="00942039"/>
    <w:rsid w:val="00944AC9"/>
    <w:rsid w:val="00945898"/>
    <w:rsid w:val="00956850"/>
    <w:rsid w:val="00960383"/>
    <w:rsid w:val="00962BC8"/>
    <w:rsid w:val="00964E4D"/>
    <w:rsid w:val="00965E05"/>
    <w:rsid w:val="00970CE3"/>
    <w:rsid w:val="009732E4"/>
    <w:rsid w:val="00975A20"/>
    <w:rsid w:val="00981786"/>
    <w:rsid w:val="00984790"/>
    <w:rsid w:val="009900C8"/>
    <w:rsid w:val="009935C4"/>
    <w:rsid w:val="00995A1D"/>
    <w:rsid w:val="00995E51"/>
    <w:rsid w:val="00996534"/>
    <w:rsid w:val="009A0CDE"/>
    <w:rsid w:val="009A10F5"/>
    <w:rsid w:val="009A1C01"/>
    <w:rsid w:val="009A5392"/>
    <w:rsid w:val="009A56DC"/>
    <w:rsid w:val="009B2881"/>
    <w:rsid w:val="009B4A3D"/>
    <w:rsid w:val="009B4C7E"/>
    <w:rsid w:val="009B5C04"/>
    <w:rsid w:val="009B5F07"/>
    <w:rsid w:val="009B6A05"/>
    <w:rsid w:val="009B75DC"/>
    <w:rsid w:val="009B769E"/>
    <w:rsid w:val="009C281C"/>
    <w:rsid w:val="009C2BE6"/>
    <w:rsid w:val="009C3DAC"/>
    <w:rsid w:val="009C5126"/>
    <w:rsid w:val="009C5167"/>
    <w:rsid w:val="009C5E8A"/>
    <w:rsid w:val="009C6277"/>
    <w:rsid w:val="009D3138"/>
    <w:rsid w:val="009D53A7"/>
    <w:rsid w:val="009D64A4"/>
    <w:rsid w:val="009D71C7"/>
    <w:rsid w:val="009D7F26"/>
    <w:rsid w:val="009E0EB2"/>
    <w:rsid w:val="009E73BE"/>
    <w:rsid w:val="009F5D9A"/>
    <w:rsid w:val="00A02574"/>
    <w:rsid w:val="00A02CF3"/>
    <w:rsid w:val="00A05020"/>
    <w:rsid w:val="00A0583F"/>
    <w:rsid w:val="00A103B4"/>
    <w:rsid w:val="00A141EC"/>
    <w:rsid w:val="00A14ACC"/>
    <w:rsid w:val="00A158E8"/>
    <w:rsid w:val="00A20C23"/>
    <w:rsid w:val="00A211EA"/>
    <w:rsid w:val="00A21EC6"/>
    <w:rsid w:val="00A24049"/>
    <w:rsid w:val="00A36532"/>
    <w:rsid w:val="00A43EC1"/>
    <w:rsid w:val="00A4586F"/>
    <w:rsid w:val="00A523EE"/>
    <w:rsid w:val="00A528A3"/>
    <w:rsid w:val="00A52DE7"/>
    <w:rsid w:val="00A53E55"/>
    <w:rsid w:val="00A577B8"/>
    <w:rsid w:val="00A61FC6"/>
    <w:rsid w:val="00A62649"/>
    <w:rsid w:val="00A74724"/>
    <w:rsid w:val="00A7619B"/>
    <w:rsid w:val="00A9201F"/>
    <w:rsid w:val="00AA03FC"/>
    <w:rsid w:val="00AA1739"/>
    <w:rsid w:val="00AA43FA"/>
    <w:rsid w:val="00AA4D88"/>
    <w:rsid w:val="00AA5FD6"/>
    <w:rsid w:val="00AA7DEA"/>
    <w:rsid w:val="00AB05CB"/>
    <w:rsid w:val="00AB333C"/>
    <w:rsid w:val="00AB5079"/>
    <w:rsid w:val="00AC0A72"/>
    <w:rsid w:val="00AC0C85"/>
    <w:rsid w:val="00AC29BC"/>
    <w:rsid w:val="00AD204E"/>
    <w:rsid w:val="00AD26B9"/>
    <w:rsid w:val="00AD5166"/>
    <w:rsid w:val="00AD5366"/>
    <w:rsid w:val="00AD584F"/>
    <w:rsid w:val="00AE1FDB"/>
    <w:rsid w:val="00AE37B0"/>
    <w:rsid w:val="00AE3FEA"/>
    <w:rsid w:val="00AE4D79"/>
    <w:rsid w:val="00AF028D"/>
    <w:rsid w:val="00AF21BB"/>
    <w:rsid w:val="00AF3843"/>
    <w:rsid w:val="00AF6D16"/>
    <w:rsid w:val="00B00764"/>
    <w:rsid w:val="00B02B6D"/>
    <w:rsid w:val="00B07A9E"/>
    <w:rsid w:val="00B10062"/>
    <w:rsid w:val="00B16252"/>
    <w:rsid w:val="00B21B26"/>
    <w:rsid w:val="00B32128"/>
    <w:rsid w:val="00B329B4"/>
    <w:rsid w:val="00B3402D"/>
    <w:rsid w:val="00B35404"/>
    <w:rsid w:val="00B366DD"/>
    <w:rsid w:val="00B36F78"/>
    <w:rsid w:val="00B37A5B"/>
    <w:rsid w:val="00B41EC2"/>
    <w:rsid w:val="00B42CA9"/>
    <w:rsid w:val="00B4364A"/>
    <w:rsid w:val="00B43705"/>
    <w:rsid w:val="00B44995"/>
    <w:rsid w:val="00B4578F"/>
    <w:rsid w:val="00B52523"/>
    <w:rsid w:val="00B53A98"/>
    <w:rsid w:val="00B553CF"/>
    <w:rsid w:val="00B556BD"/>
    <w:rsid w:val="00B567B9"/>
    <w:rsid w:val="00B624C3"/>
    <w:rsid w:val="00B65F2D"/>
    <w:rsid w:val="00B66CFF"/>
    <w:rsid w:val="00B67547"/>
    <w:rsid w:val="00B67858"/>
    <w:rsid w:val="00B7099C"/>
    <w:rsid w:val="00B71DA1"/>
    <w:rsid w:val="00B7264E"/>
    <w:rsid w:val="00B72B92"/>
    <w:rsid w:val="00B730A6"/>
    <w:rsid w:val="00B733BE"/>
    <w:rsid w:val="00B759C1"/>
    <w:rsid w:val="00B77BDC"/>
    <w:rsid w:val="00B806F9"/>
    <w:rsid w:val="00B8295E"/>
    <w:rsid w:val="00B8518D"/>
    <w:rsid w:val="00B85AEE"/>
    <w:rsid w:val="00B94827"/>
    <w:rsid w:val="00B97E9D"/>
    <w:rsid w:val="00BA3508"/>
    <w:rsid w:val="00BA369E"/>
    <w:rsid w:val="00BA3FA7"/>
    <w:rsid w:val="00BA4036"/>
    <w:rsid w:val="00BA674C"/>
    <w:rsid w:val="00BA6AD8"/>
    <w:rsid w:val="00BA6E2F"/>
    <w:rsid w:val="00BC073D"/>
    <w:rsid w:val="00BC4A3B"/>
    <w:rsid w:val="00BD0F04"/>
    <w:rsid w:val="00BD2C7B"/>
    <w:rsid w:val="00BE02CE"/>
    <w:rsid w:val="00BE09FA"/>
    <w:rsid w:val="00BE0F27"/>
    <w:rsid w:val="00BE22D8"/>
    <w:rsid w:val="00BE287E"/>
    <w:rsid w:val="00BE61A8"/>
    <w:rsid w:val="00BE795B"/>
    <w:rsid w:val="00BF0FB6"/>
    <w:rsid w:val="00BF371E"/>
    <w:rsid w:val="00BF607D"/>
    <w:rsid w:val="00C02630"/>
    <w:rsid w:val="00C026A8"/>
    <w:rsid w:val="00C03B09"/>
    <w:rsid w:val="00C061FC"/>
    <w:rsid w:val="00C10712"/>
    <w:rsid w:val="00C14D46"/>
    <w:rsid w:val="00C24719"/>
    <w:rsid w:val="00C33D87"/>
    <w:rsid w:val="00C347B4"/>
    <w:rsid w:val="00C41185"/>
    <w:rsid w:val="00C41AA7"/>
    <w:rsid w:val="00C46CBF"/>
    <w:rsid w:val="00C47704"/>
    <w:rsid w:val="00C509C2"/>
    <w:rsid w:val="00C513C6"/>
    <w:rsid w:val="00C51933"/>
    <w:rsid w:val="00C51E7B"/>
    <w:rsid w:val="00C52982"/>
    <w:rsid w:val="00C54817"/>
    <w:rsid w:val="00C565B3"/>
    <w:rsid w:val="00C6109E"/>
    <w:rsid w:val="00C66C0D"/>
    <w:rsid w:val="00C72C8A"/>
    <w:rsid w:val="00C76C3B"/>
    <w:rsid w:val="00C8002C"/>
    <w:rsid w:val="00C820D0"/>
    <w:rsid w:val="00C82945"/>
    <w:rsid w:val="00C8318A"/>
    <w:rsid w:val="00C87D84"/>
    <w:rsid w:val="00C922EE"/>
    <w:rsid w:val="00C9364A"/>
    <w:rsid w:val="00C94B96"/>
    <w:rsid w:val="00C95EAF"/>
    <w:rsid w:val="00C97ACC"/>
    <w:rsid w:val="00CA0240"/>
    <w:rsid w:val="00CA059E"/>
    <w:rsid w:val="00CA06A2"/>
    <w:rsid w:val="00CB19E1"/>
    <w:rsid w:val="00CB29B8"/>
    <w:rsid w:val="00CB6C8E"/>
    <w:rsid w:val="00CC15CB"/>
    <w:rsid w:val="00CC3D8A"/>
    <w:rsid w:val="00CD271B"/>
    <w:rsid w:val="00CD2CED"/>
    <w:rsid w:val="00CD32F7"/>
    <w:rsid w:val="00CD4320"/>
    <w:rsid w:val="00CD70AF"/>
    <w:rsid w:val="00CD71A2"/>
    <w:rsid w:val="00CD74B3"/>
    <w:rsid w:val="00CD7B1A"/>
    <w:rsid w:val="00CE0F8D"/>
    <w:rsid w:val="00CE156C"/>
    <w:rsid w:val="00CE27CE"/>
    <w:rsid w:val="00CE2DB2"/>
    <w:rsid w:val="00CE46E5"/>
    <w:rsid w:val="00CE56E5"/>
    <w:rsid w:val="00CE5731"/>
    <w:rsid w:val="00CF0246"/>
    <w:rsid w:val="00CF0DFE"/>
    <w:rsid w:val="00CF0F9B"/>
    <w:rsid w:val="00CF39AE"/>
    <w:rsid w:val="00CF7F3C"/>
    <w:rsid w:val="00D00F07"/>
    <w:rsid w:val="00D00FC0"/>
    <w:rsid w:val="00D01815"/>
    <w:rsid w:val="00D062E8"/>
    <w:rsid w:val="00D066C3"/>
    <w:rsid w:val="00D116E4"/>
    <w:rsid w:val="00D16F4C"/>
    <w:rsid w:val="00D17090"/>
    <w:rsid w:val="00D20981"/>
    <w:rsid w:val="00D211FE"/>
    <w:rsid w:val="00D224DC"/>
    <w:rsid w:val="00D24F75"/>
    <w:rsid w:val="00D2611C"/>
    <w:rsid w:val="00D2650E"/>
    <w:rsid w:val="00D267A4"/>
    <w:rsid w:val="00D278B6"/>
    <w:rsid w:val="00D30406"/>
    <w:rsid w:val="00D319B4"/>
    <w:rsid w:val="00D32269"/>
    <w:rsid w:val="00D329C8"/>
    <w:rsid w:val="00D37DA5"/>
    <w:rsid w:val="00D40B76"/>
    <w:rsid w:val="00D410F0"/>
    <w:rsid w:val="00D4266D"/>
    <w:rsid w:val="00D4364F"/>
    <w:rsid w:val="00D46A37"/>
    <w:rsid w:val="00D5174C"/>
    <w:rsid w:val="00D5442C"/>
    <w:rsid w:val="00D54B92"/>
    <w:rsid w:val="00D55511"/>
    <w:rsid w:val="00D5644F"/>
    <w:rsid w:val="00D571D4"/>
    <w:rsid w:val="00D60BCC"/>
    <w:rsid w:val="00D61780"/>
    <w:rsid w:val="00D6180E"/>
    <w:rsid w:val="00D66D1D"/>
    <w:rsid w:val="00D76C7F"/>
    <w:rsid w:val="00D76FEB"/>
    <w:rsid w:val="00D812CC"/>
    <w:rsid w:val="00D833B5"/>
    <w:rsid w:val="00D83A60"/>
    <w:rsid w:val="00D8448C"/>
    <w:rsid w:val="00D85C53"/>
    <w:rsid w:val="00D865A4"/>
    <w:rsid w:val="00D87C67"/>
    <w:rsid w:val="00D91C3A"/>
    <w:rsid w:val="00D94E92"/>
    <w:rsid w:val="00D95764"/>
    <w:rsid w:val="00D95877"/>
    <w:rsid w:val="00D97FAA"/>
    <w:rsid w:val="00DA7E28"/>
    <w:rsid w:val="00DB36C7"/>
    <w:rsid w:val="00DB55A1"/>
    <w:rsid w:val="00DB70A2"/>
    <w:rsid w:val="00DB7D05"/>
    <w:rsid w:val="00DC2CF5"/>
    <w:rsid w:val="00DC4258"/>
    <w:rsid w:val="00DC4422"/>
    <w:rsid w:val="00DC4564"/>
    <w:rsid w:val="00DC57B4"/>
    <w:rsid w:val="00DD0218"/>
    <w:rsid w:val="00DD1115"/>
    <w:rsid w:val="00DD1851"/>
    <w:rsid w:val="00DD5042"/>
    <w:rsid w:val="00DE2709"/>
    <w:rsid w:val="00DE2996"/>
    <w:rsid w:val="00DE3ABE"/>
    <w:rsid w:val="00DE3CCC"/>
    <w:rsid w:val="00DE633F"/>
    <w:rsid w:val="00DE71D8"/>
    <w:rsid w:val="00DF03D7"/>
    <w:rsid w:val="00DF18A0"/>
    <w:rsid w:val="00DF342B"/>
    <w:rsid w:val="00E00CCD"/>
    <w:rsid w:val="00E03EB9"/>
    <w:rsid w:val="00E04008"/>
    <w:rsid w:val="00E04924"/>
    <w:rsid w:val="00E05BCD"/>
    <w:rsid w:val="00E060F7"/>
    <w:rsid w:val="00E14487"/>
    <w:rsid w:val="00E17BFE"/>
    <w:rsid w:val="00E203D3"/>
    <w:rsid w:val="00E218A3"/>
    <w:rsid w:val="00E25C52"/>
    <w:rsid w:val="00E25C65"/>
    <w:rsid w:val="00E25DEF"/>
    <w:rsid w:val="00E2779C"/>
    <w:rsid w:val="00E27AD7"/>
    <w:rsid w:val="00E33109"/>
    <w:rsid w:val="00E338C7"/>
    <w:rsid w:val="00E34333"/>
    <w:rsid w:val="00E359BC"/>
    <w:rsid w:val="00E35CFD"/>
    <w:rsid w:val="00E4429F"/>
    <w:rsid w:val="00E45B8D"/>
    <w:rsid w:val="00E45EA3"/>
    <w:rsid w:val="00E47080"/>
    <w:rsid w:val="00E537A2"/>
    <w:rsid w:val="00E54D1D"/>
    <w:rsid w:val="00E5586B"/>
    <w:rsid w:val="00E55D63"/>
    <w:rsid w:val="00E57501"/>
    <w:rsid w:val="00E613C9"/>
    <w:rsid w:val="00E644A8"/>
    <w:rsid w:val="00E66AE9"/>
    <w:rsid w:val="00E71234"/>
    <w:rsid w:val="00E823FA"/>
    <w:rsid w:val="00E83961"/>
    <w:rsid w:val="00E85972"/>
    <w:rsid w:val="00E86881"/>
    <w:rsid w:val="00E90A04"/>
    <w:rsid w:val="00E93A2B"/>
    <w:rsid w:val="00E9410F"/>
    <w:rsid w:val="00E94FBA"/>
    <w:rsid w:val="00EA3ED9"/>
    <w:rsid w:val="00EA4D67"/>
    <w:rsid w:val="00EA503B"/>
    <w:rsid w:val="00EA5625"/>
    <w:rsid w:val="00EA69A0"/>
    <w:rsid w:val="00EB0C56"/>
    <w:rsid w:val="00EB2087"/>
    <w:rsid w:val="00EB7293"/>
    <w:rsid w:val="00EC1815"/>
    <w:rsid w:val="00EC1846"/>
    <w:rsid w:val="00EC499C"/>
    <w:rsid w:val="00EC4A0B"/>
    <w:rsid w:val="00EC5DD6"/>
    <w:rsid w:val="00EC632F"/>
    <w:rsid w:val="00EC7DC7"/>
    <w:rsid w:val="00ED13F6"/>
    <w:rsid w:val="00ED2C0D"/>
    <w:rsid w:val="00ED6B47"/>
    <w:rsid w:val="00ED7966"/>
    <w:rsid w:val="00ED7DC8"/>
    <w:rsid w:val="00EE0396"/>
    <w:rsid w:val="00EE0522"/>
    <w:rsid w:val="00EE2440"/>
    <w:rsid w:val="00EE2566"/>
    <w:rsid w:val="00EE375E"/>
    <w:rsid w:val="00EE3BF8"/>
    <w:rsid w:val="00EE545D"/>
    <w:rsid w:val="00EE6BA3"/>
    <w:rsid w:val="00EE7CE1"/>
    <w:rsid w:val="00EF4D66"/>
    <w:rsid w:val="00EF52E8"/>
    <w:rsid w:val="00EF7145"/>
    <w:rsid w:val="00EF7220"/>
    <w:rsid w:val="00F01F43"/>
    <w:rsid w:val="00F022D5"/>
    <w:rsid w:val="00F02411"/>
    <w:rsid w:val="00F02D59"/>
    <w:rsid w:val="00F053D4"/>
    <w:rsid w:val="00F06697"/>
    <w:rsid w:val="00F0763F"/>
    <w:rsid w:val="00F11561"/>
    <w:rsid w:val="00F14CCE"/>
    <w:rsid w:val="00F15AFA"/>
    <w:rsid w:val="00F15E29"/>
    <w:rsid w:val="00F17802"/>
    <w:rsid w:val="00F20CC8"/>
    <w:rsid w:val="00F20E6C"/>
    <w:rsid w:val="00F21C3A"/>
    <w:rsid w:val="00F21FC0"/>
    <w:rsid w:val="00F22638"/>
    <w:rsid w:val="00F25CEC"/>
    <w:rsid w:val="00F303FF"/>
    <w:rsid w:val="00F30DCD"/>
    <w:rsid w:val="00F33848"/>
    <w:rsid w:val="00F3628A"/>
    <w:rsid w:val="00F400FF"/>
    <w:rsid w:val="00F40B3D"/>
    <w:rsid w:val="00F416B7"/>
    <w:rsid w:val="00F469C0"/>
    <w:rsid w:val="00F50823"/>
    <w:rsid w:val="00F539B4"/>
    <w:rsid w:val="00F5676A"/>
    <w:rsid w:val="00F61176"/>
    <w:rsid w:val="00F64126"/>
    <w:rsid w:val="00F67EE5"/>
    <w:rsid w:val="00F77ACD"/>
    <w:rsid w:val="00F83297"/>
    <w:rsid w:val="00F8449E"/>
    <w:rsid w:val="00F90363"/>
    <w:rsid w:val="00F965DB"/>
    <w:rsid w:val="00F96D7E"/>
    <w:rsid w:val="00FA3577"/>
    <w:rsid w:val="00FA382F"/>
    <w:rsid w:val="00FA7333"/>
    <w:rsid w:val="00FB1EC7"/>
    <w:rsid w:val="00FB2B29"/>
    <w:rsid w:val="00FC31C5"/>
    <w:rsid w:val="00FC367A"/>
    <w:rsid w:val="00FC38AD"/>
    <w:rsid w:val="00FC5F14"/>
    <w:rsid w:val="00FC7686"/>
    <w:rsid w:val="00FD0682"/>
    <w:rsid w:val="00FD1349"/>
    <w:rsid w:val="00FD5F80"/>
    <w:rsid w:val="00FD7985"/>
    <w:rsid w:val="00FD79F1"/>
    <w:rsid w:val="00FE36B1"/>
    <w:rsid w:val="00FE5219"/>
    <w:rsid w:val="00FE698B"/>
    <w:rsid w:val="00FE77D4"/>
    <w:rsid w:val="00FE7DED"/>
    <w:rsid w:val="00FF2540"/>
    <w:rsid w:val="5311DE86"/>
    <w:rsid w:val="5617756A"/>
    <w:rsid w:val="7060B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58D4F460"/>
  <w15:docId w15:val="{479BCE6D-581E-42FB-B3D6-B0D7BFE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C1815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815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1815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  <w:tabs>
        <w:tab w:val="num" w:pos="360"/>
      </w:tabs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C1815"/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6A73E7"/>
    <w:pPr>
      <w:numPr>
        <w:numId w:val="14"/>
      </w:numPr>
    </w:pPr>
  </w:style>
  <w:style w:type="paragraph" w:customStyle="1" w:styleId="Bullet2">
    <w:name w:val="Bullet 2"/>
    <w:basedOn w:val="Normal"/>
    <w:uiPriority w:val="2"/>
    <w:qFormat/>
    <w:rsid w:val="006A73E7"/>
    <w:pPr>
      <w:numPr>
        <w:ilvl w:val="1"/>
        <w:numId w:val="15"/>
      </w:numPr>
    </w:pPr>
  </w:style>
  <w:style w:type="paragraph" w:customStyle="1" w:styleId="Bullet3">
    <w:name w:val="Bullet 3"/>
    <w:basedOn w:val="Normal"/>
    <w:uiPriority w:val="2"/>
    <w:qFormat/>
    <w:rsid w:val="006A73E7"/>
    <w:pPr>
      <w:numPr>
        <w:ilvl w:val="2"/>
        <w:numId w:val="15"/>
      </w:numPr>
    </w:pPr>
  </w:style>
  <w:style w:type="paragraph" w:customStyle="1" w:styleId="FigureTitle">
    <w:name w:val="Figure Title"/>
    <w:basedOn w:val="Normal"/>
    <w:uiPriority w:val="12"/>
    <w:qFormat/>
    <w:rsid w:val="00EC1815"/>
    <w:pPr>
      <w:keepNext/>
      <w:numPr>
        <w:numId w:val="3"/>
      </w:numPr>
      <w:spacing w:before="240"/>
    </w:pPr>
    <w:rPr>
      <w:rFonts w:asciiTheme="majorHAnsi" w:hAnsiTheme="majorHAnsi"/>
      <w:color w:val="004D7D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C1815"/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C1815"/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4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4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5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5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5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6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7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8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9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0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22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customStyle="1" w:styleId="BulletsL1">
    <w:name w:val="Bullets L1"/>
    <w:basedOn w:val="ListParagraph"/>
    <w:link w:val="BulletsL1Char"/>
    <w:rsid w:val="006A73E7"/>
    <w:pPr>
      <w:numPr>
        <w:numId w:val="16"/>
      </w:numPr>
      <w:spacing w:before="40" w:line="280" w:lineRule="exact"/>
      <w:contextualSpacing w:val="0"/>
    </w:pPr>
    <w:rPr>
      <w:rFonts w:ascii="Arial" w:hAnsi="Arial"/>
      <w:color w:val="auto"/>
      <w:lang w:val="en-US"/>
    </w:rPr>
  </w:style>
  <w:style w:type="paragraph" w:customStyle="1" w:styleId="BulletsL2">
    <w:name w:val="Bullets L2"/>
    <w:basedOn w:val="BulletsL1"/>
    <w:link w:val="BulletsL2Char"/>
    <w:rsid w:val="006A73E7"/>
    <w:pPr>
      <w:numPr>
        <w:numId w:val="17"/>
      </w:numPr>
    </w:pPr>
  </w:style>
  <w:style w:type="character" w:customStyle="1" w:styleId="BulletsL1Char">
    <w:name w:val="Bullets L1 Char"/>
    <w:basedOn w:val="DefaultParagraphFont"/>
    <w:link w:val="BulletsL1"/>
    <w:rsid w:val="006A73E7"/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BulletsL1Char"/>
    <w:link w:val="BulletsL2"/>
    <w:rsid w:val="006A73E7"/>
    <w:rPr>
      <w:rFonts w:ascii="Arial" w:hAnsi="Arial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9C1"/>
    <w:pPr>
      <w:spacing w:before="0" w:after="0"/>
    </w:pPr>
    <w:rPr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9C1"/>
    <w:rPr>
      <w:color w:val="auto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759C1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5E727A"/>
    <w:rPr>
      <w:color w:val="004D7D"/>
      <w:u w:val="single"/>
    </w:rPr>
  </w:style>
  <w:style w:type="paragraph" w:customStyle="1" w:styleId="Normal1">
    <w:name w:val="Normal1"/>
    <w:basedOn w:val="Normal"/>
    <w:rsid w:val="00B759C1"/>
    <w:pPr>
      <w:spacing w:before="0" w:after="0" w:line="276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B759C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59C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8C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08FB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E93A2B"/>
    <w:rPr>
      <w:color w:val="00847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2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29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D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qf.edu.au/publication/aqf-glossary" TargetMode="External"/><Relationship Id="rId18" Type="http://schemas.openxmlformats.org/officeDocument/2006/relationships/hyperlink" Target="https://www.aqf.edu.au/publication/aqf-gloss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qf.edu.au/framework/australian-qualifications-framework" TargetMode="External"/><Relationship Id="rId17" Type="http://schemas.openxmlformats.org/officeDocument/2006/relationships/hyperlink" Target="https://www.aqf.edu.au/publication/aqf-qualifications-pathways-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C2022C000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qsa.gov.au/how-we-regulate/higher-education-standards-framework-20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F2017L0118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eqsa.gov.au/guides-resources/resources/guidance-notes/guidance-note-admissions-coursewo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qf.edu.au/publication/aqf-qualifications-pathways-polic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3AF37CA3B51428CD9C68A4D71EEA0" ma:contentTypeVersion="23" ma:contentTypeDescription="Create a new document." ma:contentTypeScope="" ma:versionID="196502376bb63618d70851d63874ee7d">
  <xsd:schema xmlns:xsd="http://www.w3.org/2001/XMLSchema" xmlns:xs="http://www.w3.org/2001/XMLSchema" xmlns:p="http://schemas.microsoft.com/office/2006/metadata/properties" xmlns:ns2="292dd51f-c3e5-45fb-bb52-f0a96cb7d027" xmlns:ns3="83929e38-55be-4b09-962a-7a6393de1361" targetNamespace="http://schemas.microsoft.com/office/2006/metadata/properties" ma:root="true" ma:fieldsID="bba90c59b8e9c1345016e249975af5ef" ns2:_="" ns3:_="">
    <xsd:import namespace="292dd51f-c3e5-45fb-bb52-f0a96cb7d027"/>
    <xsd:import namespace="83929e38-55be-4b09-962a-7a6393de136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tatus" minOccurs="0"/>
                <xsd:element ref="ns2:Assignedto" minOccurs="0"/>
                <xsd:element ref="ns2:ContextualStatus" minOccurs="0"/>
                <xsd:element ref="ns2:GuidanceNote" minOccurs="0"/>
                <xsd:element ref="ns2:_Flow_SignoffStatus" minOccurs="0"/>
                <xsd:element ref="ns2:Date" minOccurs="0"/>
                <xsd:element ref="ns3:TaxCatchAll" minOccurs="0"/>
                <xsd:element ref="ns2:j5c7243103eb4a8f8bdb102a5810412a" minOccurs="0"/>
                <xsd:element ref="ns2:lf00f7cae6154b588c712167af0e92c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2841a2f4f0e46edb9ade446fe7c03eb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d51f-c3e5-45fb-bb52-f0a96cb7d027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 ma:readOnly="false">
      <xsd:simpleType>
        <xsd:restriction base="dms:Choice">
          <xsd:enumeration value="Analysis"/>
          <xsd:enumeration value="Commission Brief"/>
          <xsd:enumeration value="Commission Notes"/>
          <xsd:enumeration value="ELT Brief"/>
          <xsd:enumeration value="External Consultation"/>
          <xsd:enumeration value="External Correspondence"/>
          <xsd:enumeration value="External Resources"/>
          <xsd:enumeration value="Guidance"/>
          <xsd:enumeration value="Internal Consultation"/>
          <xsd:enumeration value="Media"/>
          <xsd:enumeration value="Meeting Notes"/>
          <xsd:enumeration value="Project plans"/>
          <xsd:enumeration value="Reports"/>
          <xsd:enumeration value="Research"/>
          <xsd:enumeration value="Webinars"/>
          <xsd:enumeration value="Presentations"/>
        </xsd:restriction>
      </xsd:simpleType>
    </xsd:element>
    <xsd:element name="Status" ma:index="4" nillable="true" ma:displayName="Status" ma:default="Draft" ma:format="Dropdown" ma:internalName="Status" ma:readOnly="false">
      <xsd:simpleType>
        <xsd:restriction base="dms:Choice">
          <xsd:enumeration value="Draft"/>
          <xsd:enumeration value="Final"/>
          <xsd:enumeration value="Published"/>
        </xsd:restriction>
      </xsd:simpleType>
    </xsd:element>
    <xsd:element name="Assignedto" ma:index="5" nillable="true" ma:displayName="Assigned to" ma:description="Officer who is assigned the task" ma:format="Dropdown" ma:internalName="Assignedto" ma:readOnly="false">
      <xsd:simpleType>
        <xsd:restriction base="dms:Choice">
          <xsd:enumeration value="Graem"/>
          <xsd:enumeration value="Rodny"/>
          <xsd:enumeration value="Ben"/>
          <xsd:enumeration value="Complete"/>
          <xsd:enumeration value="Unassigned"/>
        </xsd:restriction>
      </xsd:simpleType>
    </xsd:element>
    <xsd:element name="ContextualStatus" ma:index="6" nillable="true" ma:displayName="Contextual Status" ma:description="Additional Contextual Status" ma:format="Dropdown" ma:internalName="ContextualStatus" ma:readOnly="false">
      <xsd:simpleType>
        <xsd:restriction base="dms:Choice">
          <xsd:enumeration value="Initial Drafting"/>
          <xsd:enumeration value="Ready for Consultation (internal)"/>
          <xsd:enumeration value="Internal Consultation (waiting)"/>
          <xsd:enumeration value="Internally Consulted"/>
          <xsd:enumeration value="Commission first review"/>
          <xsd:enumeration value="Incorp First Commission Feedback"/>
          <xsd:enumeration value="Ready for Consultation (external)"/>
          <xsd:enumeration value="External Consultation (waiting)"/>
          <xsd:enumeration value="Externally Consulted"/>
          <xsd:enumeration value="Commission final review"/>
          <xsd:enumeration value="Complete"/>
          <xsd:enumeration value="Ready for publication"/>
        </xsd:restriction>
      </xsd:simpleType>
    </xsd:element>
    <xsd:element name="GuidanceNote" ma:index="7" nillable="true" ma:displayName="Guidance Note" ma:description="The Guidance Note the document relates to." ma:format="Dropdown" ma:internalName="GuidanceNote" ma:readOnly="false">
      <xsd:simpleType>
        <xsd:restriction base="dms:Choice">
          <xsd:enumeration value="Definition - Active in Research"/>
          <xsd:enumeration value="Corporate Monitoring and Accountability"/>
          <xsd:enumeration value="Corporate Governance"/>
          <xsd:enumeration value="Course Approval and Accreditation"/>
          <xsd:enumeration value="Information Management"/>
          <xsd:enumeration value="Orientation and progression"/>
          <xsd:enumeration value="Qualifications and certification"/>
          <xsd:enumeration value="Student Grievances and Complaints"/>
          <xsd:enumeration value="Academic Governance"/>
          <xsd:enumeration value="Student Wellbeing and Safety"/>
          <xsd:enumeration value="Diversity and Equity"/>
          <xsd:enumeration value="Facilities and infrastructure"/>
          <xsd:enumeration value="Monitoring, Review and Improvement"/>
          <xsd:enumeration value="Representation"/>
          <xsd:enumeration value="Delivery with other parties"/>
          <xsd:enumeration value="Research Requirements for Aus Universities"/>
          <xsd:enumeration value="Research and Research Training"/>
          <xsd:enumeration value="Choice 18"/>
        </xsd:restriction>
      </xsd:simpleType>
    </xsd:element>
    <xsd:element name="_Flow_SignoffStatus" ma:index="8" nillable="true" ma:displayName="Sign-off status" ma:internalName="Sign_x002d_off_x0020_status" ma:readOnly="false">
      <xsd:simpleType>
        <xsd:restriction base="dms:Text"/>
      </xsd:simpleType>
    </xsd:element>
    <xsd:element name="Date" ma:index="9" nillable="true" ma:displayName="Date" ma:default="[today]" ma:format="DateOnly" ma:internalName="Date" ma:readOnly="false">
      <xsd:simpleType>
        <xsd:restriction base="dms:DateTime"/>
      </xsd:simpleType>
    </xsd:element>
    <xsd:element name="j5c7243103eb4a8f8bdb102a5810412a" ma:index="12" nillable="true" ma:taxonomy="true" ma:internalName="j5c7243103eb4a8f8bdb102a5810412a" ma:taxonomyFieldName="Activity_x0020_Name" ma:displayName="Activity Name" ma:readOnly="false" ma:default="2;#Projects|ea2fedc5-f041-4824-a983-f8f3eeeb6dfc" ma:fieldId="{35c72431-03eb-4a8f-8bdb-102a5810412a}" ma:sspId="645f8d4e-8f3a-4e65-808f-0c8f2d6bd45a" ma:termSetId="6d61d290-63e6-4191-96d4-bb0f69ce2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0f7cae6154b588c712167af0e92c2" ma:index="14" nillable="true" ma:taxonomy="true" ma:internalName="lf00f7cae6154b588c712167af0e92c2" ma:taxonomyFieldName="RecordType" ma:displayName="Record Type" ma:readOnly="false" ma:default="" ma:fieldId="{5f00f7ca-e615-4b58-8c71-2167af0e92c2}" ma:sspId="645f8d4e-8f3a-4e65-808f-0c8f2d6bd45a" ma:termSetId="fd0a169c-3a83-48a6-911e-955acb039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p2841a2f4f0e46edb9ade446fe7c03eb" ma:index="24" nillable="true" ma:taxonomy="true" ma:internalName="p2841a2f4f0e46edb9ade446fe7c03eb" ma:taxonomyFieldName="Function_x0020_Name" ma:displayName="Function Name" ma:readOnly="false" ma:default="1;#External Relations|8003538d-cbbc-40ec-a138-45260a67bcf5" ma:fieldId="{92841a2f-4f0e-46ed-b9ad-e446fe7c03eb}" ma:sspId="645f8d4e-8f3a-4e65-808f-0c8f2d6bd45a" ma:termSetId="caff1483-53ad-486d-964e-a8d5fb9e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26" nillable="true" ma:displayName="Project End Date" ma:format="DateOnly" ma:hidden="true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9e38-55be-4b09-962a-7a6393de1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4db1e4-8662-4c89-b91e-70a7b413135f}" ma:internalName="TaxCatchAll" ma:readOnly="false" ma:showField="CatchAllData" ma:web="83929e38-55be-4b09-962a-7a6393de1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29e38-55be-4b09-962a-7a6393de1361">
      <Value>3</Value>
      <Value>2</Value>
      <Value>1</Value>
    </TaxCatchAll>
    <Status xmlns="292dd51f-c3e5-45fb-bb52-f0a96cb7d027">Draft</Status>
    <p2841a2f4f0e46edb9ade446fe7c03eb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Relations</TermName>
          <TermId xmlns="http://schemas.microsoft.com/office/infopath/2007/PartnerControls">8003538d-cbbc-40ec-a138-45260a67bcf5</TermId>
        </TermInfo>
      </Terms>
    </p2841a2f4f0e46edb9ade446fe7c03eb>
    <lf00f7cae6154b588c712167af0e92c2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 Note</TermName>
          <TermId xmlns="http://schemas.microsoft.com/office/infopath/2007/PartnerControls">ebf409d7-0b48-4543-bcde-c43c4066fc8c</TermId>
        </TermInfo>
      </Terms>
    </lf00f7cae6154b588c712167af0e92c2>
    <Category xmlns="292dd51f-c3e5-45fb-bb52-f0a96cb7d027">Guidance</Category>
    <j5c7243103eb4a8f8bdb102a5810412a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ea2fedc5-f041-4824-a983-f8f3eeeb6dfc</TermId>
        </TermInfo>
      </Terms>
    </j5c7243103eb4a8f8bdb102a5810412a>
    <Assignedto xmlns="292dd51f-c3e5-45fb-bb52-f0a96cb7d027">Rodny</Assignedto>
    <ContextualStatus xmlns="292dd51f-c3e5-45fb-bb52-f0a96cb7d027">Ready for publication</ContextualStatus>
    <_Flow_SignoffStatus xmlns="292dd51f-c3e5-45fb-bb52-f0a96cb7d027">Approved</_Flow_SignoffStatus>
    <DocumentDate xmlns="292dd51f-c3e5-45fb-bb52-f0a96cb7d027" xsi:nil="true"/>
    <GuidanceNote xmlns="292dd51f-c3e5-45fb-bb52-f0a96cb7d027" xsi:nil="true"/>
    <Date xmlns="292dd51f-c3e5-45fb-bb52-f0a96cb7d027">2023-06-11T05:11:36+00:00</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9DD0-80E5-4D20-BEA7-9D3FA1FD6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dd51f-c3e5-45fb-bb52-f0a96cb7d027"/>
    <ds:schemaRef ds:uri="83929e38-55be-4b09-962a-7a6393de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schemas.microsoft.com/office/infopath/2007/PartnerControls"/>
    <ds:schemaRef ds:uri="83929e38-55be-4b09-962a-7a6393de1361"/>
    <ds:schemaRef ds:uri="http://purl.org/dc/dcmitype/"/>
    <ds:schemaRef ds:uri="http://purl.org/dc/elements/1.1/"/>
    <ds:schemaRef ds:uri="http://purl.org/dc/terms/"/>
    <ds:schemaRef ds:uri="292dd51f-c3e5-45fb-bb52-f0a96cb7d02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51B5C7-9E51-4834-9887-F9A97C49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Note: Scholarship</vt:lpstr>
    </vt:vector>
  </TitlesOfParts>
  <Company>Tertiary Education Quality and Standards Agency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Note: Credit and Recognition of Prior Learning</dc:title>
  <dc:creator>May, Raphael</dc:creator>
  <cp:keywords>[SEC=OFFICIAL]</cp:keywords>
  <cp:lastModifiedBy>Tom Hewitt-McManus</cp:lastModifiedBy>
  <cp:revision>6</cp:revision>
  <cp:lastPrinted>2023-03-08T03:58:00Z</cp:lastPrinted>
  <dcterms:created xsi:type="dcterms:W3CDTF">2023-07-07T01:23:00Z</dcterms:created>
  <dcterms:modified xsi:type="dcterms:W3CDTF">2023-07-07T01:35:00Z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0x0101007D63AF37CA3B51428CD9C68A4D71EEA0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RecordType">
    <vt:lpwstr>3;#Guidance Note|ebf409d7-0b48-4543-bcde-c43c4066fc8c</vt:lpwstr>
  </property>
  <property fmtid="{D5CDD505-2E9C-101B-9397-08002B2CF9AE}" pid="5" name="Activity Name">
    <vt:lpwstr>2;#Projects|ea2fedc5-f041-4824-a983-f8f3eeeb6dfc</vt:lpwstr>
  </property>
  <property fmtid="{D5CDD505-2E9C-101B-9397-08002B2CF9AE}" pid="6" name="Function Name">
    <vt:lpwstr>1;#External Relations|8003538d-cbbc-40ec-a138-45260a67bcf5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v=2022.1;a=SHA256;h=8184B8DD811143DC4E9DA0E098FC85C684483992DF86A95C13F310C968DB4AC8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2023-06-21T00:57:45Z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1756B66A1003FAB3E68A6DD403B40826ACBAA18B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0425470DB83747788523A711509B3E99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E56051784F8727F844CEEE886A315EA44C959D257A4327A54278BD71F9D80545</vt:lpwstr>
  </property>
  <property fmtid="{D5CDD505-2E9C-101B-9397-08002B2CF9AE}" pid="26" name="PM_OriginatorDomainName_SHA256">
    <vt:lpwstr>0C3D4C92EC8F38444BA78741E5B5836F9817C3740155E164E6696E5C1131B3E3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156FF47E98A1E035D1B661F73B01B73E</vt:lpwstr>
  </property>
  <property fmtid="{D5CDD505-2E9C-101B-9397-08002B2CF9AE}" pid="30" name="PM_Hash_Salt">
    <vt:lpwstr>3B1981B0CA6AA6A43A342A5637985F00</vt:lpwstr>
  </property>
  <property fmtid="{D5CDD505-2E9C-101B-9397-08002B2CF9AE}" pid="31" name="PM_Hash_SHA1">
    <vt:lpwstr>6FF0D674E87CFBAC517583BF7909316BB0E6B494</vt:lpwstr>
  </property>
</Properties>
</file>