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EB2A" w14:textId="34FCD11D" w:rsidR="00FB2C52" w:rsidRDefault="00553CD2" w:rsidP="007F78F7">
      <w:pPr>
        <w:pStyle w:val="Heading2"/>
      </w:pPr>
      <w:r>
        <w:t xml:space="preserve">Summary of </w:t>
      </w:r>
      <w:r w:rsidR="005F7712">
        <w:t>external</w:t>
      </w:r>
      <w:r>
        <w:t xml:space="preserve"> consultation on Guidance Note: </w:t>
      </w:r>
      <w:r w:rsidRPr="00553CD2">
        <w:t xml:space="preserve">Research </w:t>
      </w:r>
      <w:r w:rsidR="00D407A5">
        <w:t>and research training</w:t>
      </w:r>
    </w:p>
    <w:p w14:paraId="08AF9F08" w14:textId="14E58A86" w:rsidR="00D407A5" w:rsidRDefault="00A54FFF" w:rsidP="00D407A5">
      <w:r>
        <w:t>In early July 2022, TEQSA</w:t>
      </w:r>
      <w:r w:rsidR="00D407A5">
        <w:t xml:space="preserve"> received feedback from the following </w:t>
      </w:r>
      <w:r>
        <w:t xml:space="preserve">thirteen </w:t>
      </w:r>
      <w:r w:rsidR="00D407A5">
        <w:t xml:space="preserve">external </w:t>
      </w:r>
      <w:r w:rsidR="00B33C50">
        <w:t>providers:</w:t>
      </w:r>
      <w:r w:rsidR="00D407A5">
        <w:t xml:space="preserve"> </w:t>
      </w:r>
    </w:p>
    <w:p w14:paraId="46EF6508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Australian Catholic University</w:t>
      </w:r>
    </w:p>
    <w:p w14:paraId="6903ADA2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Australian Council of Graduate Research</w:t>
      </w:r>
    </w:p>
    <w:p w14:paraId="4D2915DD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Australian Institute for Police Management</w:t>
      </w:r>
    </w:p>
    <w:p w14:paraId="3C389C59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Federation University</w:t>
      </w:r>
    </w:p>
    <w:p w14:paraId="62D2CCBC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Independent Higher Education Australia (IHEA)</w:t>
      </w:r>
    </w:p>
    <w:p w14:paraId="4C05304C" w14:textId="77777777" w:rsidR="001D4700" w:rsidRDefault="001D4700" w:rsidP="00D407A5">
      <w:pPr>
        <w:pStyle w:val="ListParagraph"/>
        <w:numPr>
          <w:ilvl w:val="0"/>
          <w:numId w:val="12"/>
        </w:numPr>
      </w:pPr>
      <w:r w:rsidRPr="00D407A5">
        <w:t>Independent Tertiary Education Council Australia</w:t>
      </w:r>
      <w:r>
        <w:t xml:space="preserve"> (</w:t>
      </w:r>
      <w:r w:rsidRPr="00D407A5">
        <w:t>ITECA</w:t>
      </w:r>
      <w:r>
        <w:t>)</w:t>
      </w:r>
    </w:p>
    <w:p w14:paraId="7E1AB1F1" w14:textId="77777777" w:rsidR="001D4700" w:rsidRDefault="001D4700" w:rsidP="00D407A5">
      <w:pPr>
        <w:pStyle w:val="ListParagraph"/>
        <w:numPr>
          <w:ilvl w:val="0"/>
          <w:numId w:val="12"/>
        </w:numPr>
      </w:pPr>
      <w:r w:rsidRPr="00D407A5">
        <w:t xml:space="preserve">Professor Emeritus Janet </w:t>
      </w:r>
      <w:proofErr w:type="spellStart"/>
      <w:r w:rsidRPr="00D407A5">
        <w:t>Verbyla</w:t>
      </w:r>
      <w:proofErr w:type="spellEnd"/>
    </w:p>
    <w:p w14:paraId="61295EB0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RMIT</w:t>
      </w:r>
    </w:p>
    <w:p w14:paraId="0B2274C3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Sydney College of Divinity</w:t>
      </w:r>
    </w:p>
    <w:p w14:paraId="43E602C1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Universities Australia</w:t>
      </w:r>
    </w:p>
    <w:p w14:paraId="6A047C81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University of Southern Queensland</w:t>
      </w:r>
    </w:p>
    <w:p w14:paraId="49294B43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University of Technology Sydney</w:t>
      </w:r>
    </w:p>
    <w:p w14:paraId="5039207B" w14:textId="77777777" w:rsidR="001D4700" w:rsidRDefault="001D4700" w:rsidP="00D407A5">
      <w:pPr>
        <w:pStyle w:val="ListParagraph"/>
        <w:numPr>
          <w:ilvl w:val="0"/>
          <w:numId w:val="12"/>
        </w:numPr>
      </w:pPr>
      <w:r>
        <w:t>Western Sydney University</w:t>
      </w:r>
    </w:p>
    <w:p w14:paraId="7656EAB2" w14:textId="0ADA606F" w:rsidR="00D407A5" w:rsidRDefault="00D407A5" w:rsidP="00D407A5">
      <w:r>
        <w:t xml:space="preserve"> </w:t>
      </w:r>
    </w:p>
    <w:p w14:paraId="76B22769" w14:textId="2B9EE3FA" w:rsidR="00A54FFF" w:rsidRDefault="00A54FFF" w:rsidP="00D407A5"/>
    <w:p w14:paraId="099CB8FA" w14:textId="7816C228" w:rsidR="00A54FFF" w:rsidRDefault="00A54FFF" w:rsidP="00D407A5"/>
    <w:p w14:paraId="1C236A5A" w14:textId="612FBA3B" w:rsidR="00A54FFF" w:rsidRDefault="00A54FFF" w:rsidP="00D407A5"/>
    <w:p w14:paraId="7F084D89" w14:textId="447107B1" w:rsidR="00A54FFF" w:rsidRDefault="00A54FFF" w:rsidP="00D407A5"/>
    <w:p w14:paraId="3F40F029" w14:textId="25CAF0E4" w:rsidR="00A54FFF" w:rsidRDefault="00A54FFF" w:rsidP="00D407A5"/>
    <w:p w14:paraId="758820E2" w14:textId="7AE2DFAB" w:rsidR="00A54FFF" w:rsidRPr="00D407A5" w:rsidRDefault="00A54FFF" w:rsidP="00B33C50">
      <w:pPr>
        <w:pStyle w:val="Heading3"/>
      </w:pPr>
      <w:r>
        <w:lastRenderedPageBreak/>
        <w:t>About the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111"/>
        <w:gridCol w:w="4536"/>
      </w:tblGrid>
      <w:tr w:rsidR="00D407A5" w14:paraId="011CFAC7" w14:textId="77777777" w:rsidTr="002E5307">
        <w:trPr>
          <w:tblHeader/>
        </w:trPr>
        <w:tc>
          <w:tcPr>
            <w:tcW w:w="4531" w:type="dxa"/>
            <w:shd w:val="clear" w:color="auto" w:fill="004E7D"/>
            <w:hideMark/>
          </w:tcPr>
          <w:p w14:paraId="6ADD70F7" w14:textId="77777777" w:rsidR="00D407A5" w:rsidRPr="003D24BB" w:rsidRDefault="00D407A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09207443"/>
            <w:r w:rsidRPr="003D24BB">
              <w:rPr>
                <w:rFonts w:ascii="Arial" w:hAnsi="Arial" w:cs="Arial"/>
                <w:b/>
                <w:bCs/>
                <w:color w:val="FFFFFF" w:themeColor="background1"/>
              </w:rPr>
              <w:t xml:space="preserve">Feedback Received </w:t>
            </w:r>
          </w:p>
        </w:tc>
        <w:tc>
          <w:tcPr>
            <w:tcW w:w="4111" w:type="dxa"/>
            <w:shd w:val="clear" w:color="auto" w:fill="004E7D"/>
            <w:hideMark/>
          </w:tcPr>
          <w:p w14:paraId="58CB72A4" w14:textId="77777777" w:rsidR="00D407A5" w:rsidRPr="003D24BB" w:rsidRDefault="00D407A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D24BB">
              <w:rPr>
                <w:rFonts w:ascii="Arial" w:hAnsi="Arial" w:cs="Arial"/>
                <w:b/>
                <w:bCs/>
                <w:color w:val="FFFFFF" w:themeColor="background1"/>
              </w:rPr>
              <w:t xml:space="preserve">Action Taken </w:t>
            </w:r>
          </w:p>
        </w:tc>
        <w:tc>
          <w:tcPr>
            <w:tcW w:w="4536" w:type="dxa"/>
            <w:shd w:val="clear" w:color="auto" w:fill="004E7D"/>
            <w:hideMark/>
          </w:tcPr>
          <w:p w14:paraId="0FF9E6EE" w14:textId="77777777" w:rsidR="00D407A5" w:rsidRPr="003D24BB" w:rsidRDefault="00D407A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D24BB">
              <w:rPr>
                <w:rFonts w:ascii="Arial" w:hAnsi="Arial" w:cs="Arial"/>
                <w:b/>
                <w:bCs/>
                <w:color w:val="FFFFFF" w:themeColor="background1"/>
              </w:rPr>
              <w:t xml:space="preserve">Rationale </w:t>
            </w:r>
          </w:p>
        </w:tc>
      </w:tr>
      <w:tr w:rsidR="00D407A5" w14:paraId="34C0C1A0" w14:textId="77777777" w:rsidTr="00D407A5">
        <w:tc>
          <w:tcPr>
            <w:tcW w:w="4531" w:type="dxa"/>
          </w:tcPr>
          <w:p w14:paraId="01C918D7" w14:textId="01147EB7" w:rsidR="00D407A5" w:rsidRDefault="00033DC3" w:rsidP="003D24BB">
            <w:r>
              <w:t xml:space="preserve">Add </w:t>
            </w:r>
            <w:r w:rsidR="00A31A76">
              <w:t xml:space="preserve">more </w:t>
            </w:r>
            <w:r>
              <w:t xml:space="preserve">examples and clarifications for several of the Standards in the </w:t>
            </w:r>
            <w:r w:rsidR="001C1233">
              <w:t>t</w:t>
            </w:r>
            <w:r>
              <w:t xml:space="preserve">able </w:t>
            </w:r>
          </w:p>
        </w:tc>
        <w:tc>
          <w:tcPr>
            <w:tcW w:w="4111" w:type="dxa"/>
          </w:tcPr>
          <w:p w14:paraId="6962CEC7" w14:textId="308CF6C5" w:rsidR="00D407A5" w:rsidRDefault="00033DC3" w:rsidP="003D24BB">
            <w:r>
              <w:t>Made changes in cases where examples or clarifications were already mentioned in the Standards</w:t>
            </w:r>
          </w:p>
        </w:tc>
        <w:tc>
          <w:tcPr>
            <w:tcW w:w="4536" w:type="dxa"/>
          </w:tcPr>
          <w:p w14:paraId="47F3042F" w14:textId="224C145C" w:rsidR="00D407A5" w:rsidRDefault="00033DC3" w:rsidP="003D24BB">
            <w:r>
              <w:t xml:space="preserve">The table summarises the relevant Standards for research and research training. </w:t>
            </w:r>
            <w:r w:rsidR="00A54FFF">
              <w:t>T</w:t>
            </w:r>
            <w:r>
              <w:t>he</w:t>
            </w:r>
            <w:r w:rsidR="00A54FFF">
              <w:t xml:space="preserve"> intention of the</w:t>
            </w:r>
            <w:r>
              <w:t xml:space="preserve"> </w:t>
            </w:r>
            <w:r w:rsidR="00A54FFF">
              <w:t>Guidance N</w:t>
            </w:r>
            <w:r>
              <w:t>ote</w:t>
            </w:r>
            <w:r w:rsidR="00A54FFF">
              <w:t xml:space="preserve"> is to provide high level </w:t>
            </w:r>
            <w:r w:rsidR="00B33C50">
              <w:t>information.</w:t>
            </w:r>
            <w:r>
              <w:t xml:space="preserve"> </w:t>
            </w:r>
          </w:p>
          <w:p w14:paraId="0EA39611" w14:textId="76EB9D00" w:rsidR="00A54FFF" w:rsidRDefault="00A54FFF" w:rsidP="003D24BB"/>
        </w:tc>
      </w:tr>
      <w:tr w:rsidR="00D407A5" w14:paraId="0AC006A8" w14:textId="77777777" w:rsidTr="00D407A5">
        <w:tc>
          <w:tcPr>
            <w:tcW w:w="4531" w:type="dxa"/>
          </w:tcPr>
          <w:p w14:paraId="61D0DA7C" w14:textId="74C0D9DD" w:rsidR="00D407A5" w:rsidRDefault="00033DC3" w:rsidP="003D24BB">
            <w:r>
              <w:t>Provide a definition for ‘active in research’</w:t>
            </w:r>
            <w:r w:rsidR="00A54FFF">
              <w:t>. This is because</w:t>
            </w:r>
            <w:r>
              <w:t xml:space="preserve"> Standards in Part B require research active staff. </w:t>
            </w:r>
            <w:r w:rsidR="00D958E3">
              <w:t xml:space="preserve">Also, to amend the language to match with </w:t>
            </w:r>
            <w:r w:rsidR="00A54FFF">
              <w:t xml:space="preserve">standard </w:t>
            </w:r>
            <w:r w:rsidR="00D958E3">
              <w:t>4.2</w:t>
            </w:r>
            <w:r w:rsidR="00A54FFF">
              <w:t>.</w:t>
            </w:r>
            <w:r w:rsidR="00D958E3">
              <w:t xml:space="preserve"> </w:t>
            </w:r>
          </w:p>
        </w:tc>
        <w:tc>
          <w:tcPr>
            <w:tcW w:w="4111" w:type="dxa"/>
          </w:tcPr>
          <w:p w14:paraId="5931D851" w14:textId="006877EF" w:rsidR="00D407A5" w:rsidRDefault="00D958E3" w:rsidP="003D24BB">
            <w:r>
              <w:t xml:space="preserve">Deletion of Part B Standards in the </w:t>
            </w:r>
            <w:r w:rsidR="00A54FFF">
              <w:t>t</w:t>
            </w:r>
            <w:r>
              <w:t xml:space="preserve">able. </w:t>
            </w:r>
            <w:r w:rsidR="002B4EB8">
              <w:t>Will</w:t>
            </w:r>
            <w:r w:rsidR="00A54FFF">
              <w:t xml:space="preserve"> </w:t>
            </w:r>
            <w:r w:rsidR="001C1233">
              <w:t xml:space="preserve">later </w:t>
            </w:r>
            <w:r>
              <w:t xml:space="preserve">add definition of ‘active in research’ to </w:t>
            </w:r>
            <w:r w:rsidR="001C1233">
              <w:t>TEQSA’s</w:t>
            </w:r>
            <w:r>
              <w:t xml:space="preserve"> published glossary of terms. </w:t>
            </w:r>
          </w:p>
          <w:p w14:paraId="458D029C" w14:textId="460216CF" w:rsidR="00A54FFF" w:rsidRDefault="00A54FFF" w:rsidP="003D24BB"/>
        </w:tc>
        <w:tc>
          <w:tcPr>
            <w:tcW w:w="4536" w:type="dxa"/>
          </w:tcPr>
          <w:p w14:paraId="4DA9EB98" w14:textId="7FC448D9" w:rsidR="00D407A5" w:rsidRDefault="00D958E3" w:rsidP="003D24BB">
            <w:r>
              <w:t xml:space="preserve">Part B </w:t>
            </w:r>
            <w:r w:rsidR="001C1233">
              <w:t>sets out</w:t>
            </w:r>
            <w:r>
              <w:t xml:space="preserve"> requirements for each provider category</w:t>
            </w:r>
            <w:r w:rsidR="00A54FFF">
              <w:t xml:space="preserve"> which is not the focal point for this Guidance Note.</w:t>
            </w:r>
            <w:r>
              <w:t xml:space="preserve"> </w:t>
            </w:r>
          </w:p>
        </w:tc>
      </w:tr>
      <w:tr w:rsidR="00D407A5" w14:paraId="0D8006BD" w14:textId="77777777" w:rsidTr="00D407A5">
        <w:tc>
          <w:tcPr>
            <w:tcW w:w="4531" w:type="dxa"/>
          </w:tcPr>
          <w:p w14:paraId="03CC05BF" w14:textId="6779481B" w:rsidR="00D407A5" w:rsidRDefault="002E5307" w:rsidP="003D24BB">
            <w:r>
              <w:t xml:space="preserve">Several requests for changes to wording, inclusion of some terms and clarifications in the issues section. </w:t>
            </w:r>
          </w:p>
        </w:tc>
        <w:tc>
          <w:tcPr>
            <w:tcW w:w="4111" w:type="dxa"/>
          </w:tcPr>
          <w:p w14:paraId="45611DEF" w14:textId="36368B5C" w:rsidR="00D407A5" w:rsidRDefault="002E5307" w:rsidP="003D24BB">
            <w:r>
              <w:t>Made changes w</w:t>
            </w:r>
            <w:r w:rsidR="001032DB">
              <w:t>h</w:t>
            </w:r>
            <w:r>
              <w:t xml:space="preserve">ere appropriate, in some cases modified, </w:t>
            </w:r>
            <w:r w:rsidR="00A54FFF">
              <w:t>added,</w:t>
            </w:r>
            <w:r>
              <w:t xml:space="preserve"> or deleted examples.</w:t>
            </w:r>
          </w:p>
          <w:p w14:paraId="6E9185BC" w14:textId="51870F41" w:rsidR="00A54FFF" w:rsidRDefault="00A54FFF" w:rsidP="003D24BB"/>
        </w:tc>
        <w:tc>
          <w:tcPr>
            <w:tcW w:w="4536" w:type="dxa"/>
          </w:tcPr>
          <w:p w14:paraId="5FC46C6A" w14:textId="7F63DEA7" w:rsidR="00D407A5" w:rsidRDefault="002E5307" w:rsidP="003D24BB">
            <w:r>
              <w:t xml:space="preserve">To increase clarity and relevance of examples provided. </w:t>
            </w:r>
          </w:p>
        </w:tc>
      </w:tr>
      <w:tr w:rsidR="00C73C52" w14:paraId="3E8D0103" w14:textId="77777777" w:rsidTr="00D407A5">
        <w:tc>
          <w:tcPr>
            <w:tcW w:w="4531" w:type="dxa"/>
          </w:tcPr>
          <w:p w14:paraId="7C780156" w14:textId="7F81F1B1" w:rsidR="00C73C52" w:rsidRDefault="002B4EB8" w:rsidP="00C73C52">
            <w:r>
              <w:t>Adjust the</w:t>
            </w:r>
            <w:r w:rsidR="00C73C52">
              <w:t xml:space="preserve"> ‘Common Issues’ section </w:t>
            </w:r>
            <w:r>
              <w:t>to</w:t>
            </w:r>
            <w:r w:rsidR="00C73C52">
              <w:t xml:space="preserve"> be phrased positively to encourage good practice </w:t>
            </w:r>
            <w:r>
              <w:t>in</w:t>
            </w:r>
            <w:r w:rsidR="00C73C52">
              <w:t xml:space="preserve"> the sector</w:t>
            </w:r>
            <w:r>
              <w:t>.</w:t>
            </w:r>
            <w:r w:rsidR="00C73C52">
              <w:t xml:space="preserve"> </w:t>
            </w:r>
            <w:r>
              <w:t>Suggests</w:t>
            </w:r>
            <w:r w:rsidR="00C73C52">
              <w:t xml:space="preserve"> labell</w:t>
            </w:r>
            <w:r>
              <w:t>ing it</w:t>
            </w:r>
            <w:r w:rsidR="00C73C52">
              <w:t xml:space="preserve"> “Quality indicators’ or ‘Identified Responsibilities’ </w:t>
            </w:r>
          </w:p>
          <w:p w14:paraId="2F397333" w14:textId="77777777" w:rsidR="00C73C52" w:rsidRDefault="00C73C52" w:rsidP="00C73C52"/>
        </w:tc>
        <w:tc>
          <w:tcPr>
            <w:tcW w:w="4111" w:type="dxa"/>
          </w:tcPr>
          <w:p w14:paraId="4A0532A2" w14:textId="22D84B3C" w:rsidR="00C73C52" w:rsidRDefault="00C73C52" w:rsidP="00C73C52">
            <w:r>
              <w:t>No changes made to the phrasing.</w:t>
            </w:r>
          </w:p>
        </w:tc>
        <w:tc>
          <w:tcPr>
            <w:tcW w:w="4536" w:type="dxa"/>
          </w:tcPr>
          <w:p w14:paraId="44745927" w14:textId="72EA0CE8" w:rsidR="00C73C52" w:rsidRDefault="00C73C52" w:rsidP="00C73C52">
            <w:r>
              <w:t>The HE</w:t>
            </w:r>
            <w:r w:rsidR="002B4EB8">
              <w:t>S</w:t>
            </w:r>
            <w:r>
              <w:t xml:space="preserve"> Framework broadly explains Standards positively. This Guidance Note adds value by sharing information about indicators </w:t>
            </w:r>
            <w:r w:rsidR="002B4EB8">
              <w:t xml:space="preserve">and impacts </w:t>
            </w:r>
            <w:r>
              <w:t xml:space="preserve">of falling short of those Standards. </w:t>
            </w:r>
          </w:p>
        </w:tc>
      </w:tr>
    </w:tbl>
    <w:bookmarkEnd w:id="0"/>
    <w:p w14:paraId="532D279E" w14:textId="61BA45D4" w:rsidR="00D407A5" w:rsidRDefault="00A54FFF" w:rsidP="00B33C50">
      <w:pPr>
        <w:pStyle w:val="Heading3"/>
      </w:pPr>
      <w:r>
        <w:t>About the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111"/>
        <w:gridCol w:w="4536"/>
      </w:tblGrid>
      <w:tr w:rsidR="00D407A5" w14:paraId="11E9C6C7" w14:textId="77777777" w:rsidTr="00A2333B">
        <w:tc>
          <w:tcPr>
            <w:tcW w:w="4531" w:type="dxa"/>
            <w:shd w:val="clear" w:color="auto" w:fill="004E7D"/>
            <w:hideMark/>
          </w:tcPr>
          <w:p w14:paraId="7C165A72" w14:textId="77777777" w:rsidR="00D407A5" w:rsidRPr="003D24BB" w:rsidRDefault="00D407A5" w:rsidP="00A2333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D24BB">
              <w:rPr>
                <w:rFonts w:ascii="Arial" w:hAnsi="Arial" w:cs="Arial"/>
                <w:b/>
                <w:bCs/>
                <w:color w:val="FFFFFF" w:themeColor="background1"/>
              </w:rPr>
              <w:t xml:space="preserve">Feedback Received </w:t>
            </w:r>
          </w:p>
        </w:tc>
        <w:tc>
          <w:tcPr>
            <w:tcW w:w="4111" w:type="dxa"/>
            <w:shd w:val="clear" w:color="auto" w:fill="004E7D"/>
            <w:hideMark/>
          </w:tcPr>
          <w:p w14:paraId="0098D4A8" w14:textId="77777777" w:rsidR="00D407A5" w:rsidRPr="003D24BB" w:rsidRDefault="00D407A5" w:rsidP="00A2333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D24BB">
              <w:rPr>
                <w:rFonts w:ascii="Arial" w:hAnsi="Arial" w:cs="Arial"/>
                <w:b/>
                <w:bCs/>
                <w:color w:val="FFFFFF" w:themeColor="background1"/>
              </w:rPr>
              <w:t xml:space="preserve">Action Taken </w:t>
            </w:r>
          </w:p>
        </w:tc>
        <w:tc>
          <w:tcPr>
            <w:tcW w:w="4536" w:type="dxa"/>
            <w:shd w:val="clear" w:color="auto" w:fill="004E7D"/>
            <w:hideMark/>
          </w:tcPr>
          <w:p w14:paraId="0222F3A6" w14:textId="77777777" w:rsidR="00D407A5" w:rsidRPr="003D24BB" w:rsidRDefault="00D407A5" w:rsidP="00A2333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D24BB">
              <w:rPr>
                <w:rFonts w:ascii="Arial" w:hAnsi="Arial" w:cs="Arial"/>
                <w:b/>
                <w:bCs/>
                <w:color w:val="FFFFFF" w:themeColor="background1"/>
              </w:rPr>
              <w:t xml:space="preserve">Rationale </w:t>
            </w:r>
          </w:p>
        </w:tc>
      </w:tr>
      <w:tr w:rsidR="00B33C50" w14:paraId="3EEFE9E6" w14:textId="77777777" w:rsidTr="00A2333B">
        <w:tc>
          <w:tcPr>
            <w:tcW w:w="4531" w:type="dxa"/>
          </w:tcPr>
          <w:p w14:paraId="09A1F5E8" w14:textId="78E38253" w:rsidR="00B33C50" w:rsidRDefault="00B33C50" w:rsidP="00B33C50">
            <w:r>
              <w:t>Positive feedback about the new structure of the guidance notes.</w:t>
            </w:r>
          </w:p>
          <w:p w14:paraId="5E0A251D" w14:textId="2E3A3221" w:rsidR="00B33C50" w:rsidRDefault="00B33C50" w:rsidP="00B33C50"/>
        </w:tc>
        <w:tc>
          <w:tcPr>
            <w:tcW w:w="4111" w:type="dxa"/>
          </w:tcPr>
          <w:p w14:paraId="463EB0A3" w14:textId="7E2FB138" w:rsidR="00B33C50" w:rsidRDefault="00B33C50" w:rsidP="00B33C50">
            <w:r>
              <w:t>Will maintain simplified structured.</w:t>
            </w:r>
          </w:p>
        </w:tc>
        <w:tc>
          <w:tcPr>
            <w:tcW w:w="4536" w:type="dxa"/>
          </w:tcPr>
          <w:p w14:paraId="6E0B34A7" w14:textId="06AEBF09" w:rsidR="00B33C50" w:rsidRDefault="00B33C50" w:rsidP="00B33C50">
            <w:r>
              <w:t>A simplified structure helps readers more quickly and easily understand the content.</w:t>
            </w:r>
          </w:p>
        </w:tc>
      </w:tr>
      <w:tr w:rsidR="00B33C50" w14:paraId="66584F15" w14:textId="77777777" w:rsidTr="00A2333B">
        <w:tc>
          <w:tcPr>
            <w:tcW w:w="4531" w:type="dxa"/>
          </w:tcPr>
          <w:p w14:paraId="507B8A5B" w14:textId="474F32D1" w:rsidR="00B33C50" w:rsidRDefault="00B33C50" w:rsidP="00B33C50">
            <w:r>
              <w:lastRenderedPageBreak/>
              <w:t>Would like to see the reference and resource section included again</w:t>
            </w:r>
          </w:p>
        </w:tc>
        <w:tc>
          <w:tcPr>
            <w:tcW w:w="4111" w:type="dxa"/>
          </w:tcPr>
          <w:p w14:paraId="3AF2103F" w14:textId="3E99C93A" w:rsidR="00B33C50" w:rsidRDefault="002B4EB8" w:rsidP="00B33C50">
            <w:r>
              <w:t>Have added in a related resources section capturing high-level related resources.</w:t>
            </w:r>
            <w:r w:rsidR="00B33C50">
              <w:t xml:space="preserve"> </w:t>
            </w:r>
            <w:r>
              <w:t>Will later include revised guidance notes where relevant.</w:t>
            </w:r>
          </w:p>
          <w:p w14:paraId="2E77B03F" w14:textId="1E6244B2" w:rsidR="002B4EB8" w:rsidRDefault="002B4EB8" w:rsidP="00B33C50"/>
        </w:tc>
        <w:tc>
          <w:tcPr>
            <w:tcW w:w="4536" w:type="dxa"/>
          </w:tcPr>
          <w:p w14:paraId="40B12153" w14:textId="175F390A" w:rsidR="00B33C50" w:rsidRDefault="001F0953" w:rsidP="002B4EB8">
            <w:r>
              <w:t>This gives the readers access to other relevant information.</w:t>
            </w:r>
          </w:p>
        </w:tc>
      </w:tr>
      <w:tr w:rsidR="00B33C50" w14:paraId="2D9151EB" w14:textId="77777777" w:rsidTr="00A2333B">
        <w:tc>
          <w:tcPr>
            <w:tcW w:w="4531" w:type="dxa"/>
          </w:tcPr>
          <w:p w14:paraId="64DEC1FA" w14:textId="0520A694" w:rsidR="00B33C50" w:rsidRDefault="00B33C50" w:rsidP="00B33C50">
            <w:r>
              <w:t xml:space="preserve">Suggested adjustment to heading ‘Common Issues’ as issues listed may not be common </w:t>
            </w:r>
          </w:p>
        </w:tc>
        <w:tc>
          <w:tcPr>
            <w:tcW w:w="4111" w:type="dxa"/>
          </w:tcPr>
          <w:p w14:paraId="50C47C7F" w14:textId="3B1BF0E1" w:rsidR="00B33C50" w:rsidRDefault="00B33C50" w:rsidP="00B33C50">
            <w:r>
              <w:t xml:space="preserve">“Identified Issues’ has been used as heading for section 3. </w:t>
            </w:r>
          </w:p>
        </w:tc>
        <w:tc>
          <w:tcPr>
            <w:tcW w:w="4536" w:type="dxa"/>
          </w:tcPr>
          <w:p w14:paraId="7ED9D07F" w14:textId="6A6A55C0" w:rsidR="00B33C50" w:rsidRDefault="001F0953" w:rsidP="00B33C50">
            <w:r>
              <w:t>The issues may not be common but have been identified by TEQSA as occurring within the</w:t>
            </w:r>
            <w:r w:rsidR="009552C6">
              <w:t xml:space="preserve"> higher education</w:t>
            </w:r>
            <w:r>
              <w:t xml:space="preserve"> sector.</w:t>
            </w:r>
          </w:p>
          <w:p w14:paraId="1CE8E476" w14:textId="78736AEC" w:rsidR="00B33C50" w:rsidRDefault="00B33C50" w:rsidP="00B33C50"/>
        </w:tc>
      </w:tr>
    </w:tbl>
    <w:p w14:paraId="0DD64F28" w14:textId="77777777" w:rsidR="00D407A5" w:rsidRPr="003D24BB" w:rsidRDefault="00D407A5" w:rsidP="003D24BB"/>
    <w:sectPr w:rsidR="00D407A5" w:rsidRPr="003D24BB" w:rsidSect="003D24BB">
      <w:headerReference w:type="default" r:id="rId10"/>
      <w:footerReference w:type="default" r:id="rId11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0729" w14:textId="77777777" w:rsidR="00372FB2" w:rsidRDefault="00372FB2" w:rsidP="006C328D">
      <w:pPr>
        <w:spacing w:before="0" w:after="0"/>
      </w:pPr>
      <w:r>
        <w:separator/>
      </w:r>
    </w:p>
  </w:endnote>
  <w:endnote w:type="continuationSeparator" w:id="0">
    <w:p w14:paraId="45494BD2" w14:textId="77777777" w:rsidR="00372FB2" w:rsidRDefault="00372FB2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4E7D"/>
        <w:sz w:val="20"/>
        <w:szCs w:val="20"/>
      </w:rPr>
      <w:id w:val="-1988930592"/>
      <w:docPartObj>
        <w:docPartGallery w:val="Page Numbers (Bottom of Page)"/>
        <w:docPartUnique/>
      </w:docPartObj>
    </w:sdtPr>
    <w:sdtEndPr/>
    <w:sdtContent>
      <w:sdt>
        <w:sdtPr>
          <w:rPr>
            <w:color w:val="004E7D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99666A" w14:textId="26F7508A" w:rsidR="00FF2540" w:rsidRPr="008402E0" w:rsidRDefault="003E40BA">
            <w:pPr>
              <w:pStyle w:val="Footer"/>
              <w:jc w:val="right"/>
              <w:rPr>
                <w:color w:val="004E7D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98456" wp14:editId="4EECB1F1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-209550</wp:posOffset>
                      </wp:positionV>
                      <wp:extent cx="920750" cy="920750"/>
                      <wp:effectExtent l="57150" t="57150" r="12700" b="12700"/>
                      <wp:wrapNone/>
                      <wp:docPr id="1" name="Right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20750" cy="92075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7941D"/>
                              </a:solidFill>
                              <a:ln w="41275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259B6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" o:spid="_x0000_s1026" type="#_x0000_t6" style="position:absolute;margin-left:21.3pt;margin-top:-16.5pt;width:72.5pt;height:72.5pt;rotation:-90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" fillcolor="#f7941d" strokecolor="#f7caac [1305]" strokeweight="3.25pt">
                      <w10:wrap anchorx="page"/>
                    </v:shape>
                  </w:pict>
                </mc:Fallback>
              </mc:AlternateContent>
            </w:r>
            <w:r w:rsidR="00FF2540" w:rsidRPr="008402E0">
              <w:rPr>
                <w:color w:val="004E7D"/>
                <w:sz w:val="20"/>
                <w:szCs w:val="20"/>
              </w:rPr>
              <w:t xml:space="preserve">Page </w:t>
            </w:r>
            <w:r w:rsidR="00FF2540" w:rsidRPr="008402E0">
              <w:rPr>
                <w:b/>
                <w:bCs/>
                <w:color w:val="004E7D"/>
                <w:sz w:val="20"/>
                <w:szCs w:val="20"/>
              </w:rPr>
              <w:fldChar w:fldCharType="begin"/>
            </w:r>
            <w:r w:rsidR="00FF2540" w:rsidRPr="008402E0">
              <w:rPr>
                <w:b/>
                <w:bCs/>
                <w:color w:val="004E7D"/>
                <w:sz w:val="20"/>
                <w:szCs w:val="20"/>
              </w:rPr>
              <w:instrText xml:space="preserve"> PAGE </w:instrText>
            </w:r>
            <w:r w:rsidR="00FF2540" w:rsidRPr="008402E0">
              <w:rPr>
                <w:b/>
                <w:bCs/>
                <w:color w:val="004E7D"/>
                <w:sz w:val="20"/>
                <w:szCs w:val="20"/>
              </w:rPr>
              <w:fldChar w:fldCharType="separate"/>
            </w:r>
            <w:r w:rsidR="00FD6E53" w:rsidRPr="008402E0">
              <w:rPr>
                <w:b/>
                <w:bCs/>
                <w:noProof/>
                <w:color w:val="004E7D"/>
                <w:sz w:val="20"/>
                <w:szCs w:val="20"/>
              </w:rPr>
              <w:t>1</w:t>
            </w:r>
            <w:r w:rsidR="00FF2540" w:rsidRPr="008402E0">
              <w:rPr>
                <w:b/>
                <w:bCs/>
                <w:color w:val="004E7D"/>
                <w:sz w:val="20"/>
                <w:szCs w:val="20"/>
              </w:rPr>
              <w:fldChar w:fldCharType="end"/>
            </w:r>
            <w:r w:rsidR="00FF2540" w:rsidRPr="008402E0">
              <w:rPr>
                <w:color w:val="004E7D"/>
                <w:sz w:val="20"/>
                <w:szCs w:val="20"/>
              </w:rPr>
              <w:t xml:space="preserve"> of </w:t>
            </w:r>
            <w:r w:rsidR="00FF2540" w:rsidRPr="008402E0">
              <w:rPr>
                <w:b/>
                <w:bCs/>
                <w:color w:val="004E7D"/>
                <w:sz w:val="20"/>
                <w:szCs w:val="20"/>
              </w:rPr>
              <w:fldChar w:fldCharType="begin"/>
            </w:r>
            <w:r w:rsidR="00FF2540" w:rsidRPr="008402E0">
              <w:rPr>
                <w:b/>
                <w:bCs/>
                <w:color w:val="004E7D"/>
                <w:sz w:val="20"/>
                <w:szCs w:val="20"/>
              </w:rPr>
              <w:instrText xml:space="preserve"> NUMPAGES  </w:instrText>
            </w:r>
            <w:r w:rsidR="00FF2540" w:rsidRPr="008402E0">
              <w:rPr>
                <w:b/>
                <w:bCs/>
                <w:color w:val="004E7D"/>
                <w:sz w:val="20"/>
                <w:szCs w:val="20"/>
              </w:rPr>
              <w:fldChar w:fldCharType="separate"/>
            </w:r>
            <w:r w:rsidR="00FD6E53" w:rsidRPr="008402E0">
              <w:rPr>
                <w:b/>
                <w:bCs/>
                <w:noProof/>
                <w:color w:val="004E7D"/>
                <w:sz w:val="20"/>
                <w:szCs w:val="20"/>
              </w:rPr>
              <w:t>1</w:t>
            </w:r>
            <w:r w:rsidR="00FF2540" w:rsidRPr="008402E0">
              <w:rPr>
                <w:b/>
                <w:bCs/>
                <w:color w:val="004E7D"/>
                <w:sz w:val="20"/>
                <w:szCs w:val="20"/>
              </w:rPr>
              <w:fldChar w:fldCharType="end"/>
            </w:r>
          </w:p>
        </w:sdtContent>
      </w:sdt>
    </w:sdtContent>
  </w:sdt>
  <w:p w14:paraId="35FAC9C0" w14:textId="77777777" w:rsidR="00FF2540" w:rsidRDefault="00FF2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004F" w14:textId="77777777" w:rsidR="00372FB2" w:rsidRDefault="00372FB2" w:rsidP="006C328D">
      <w:pPr>
        <w:spacing w:before="0" w:after="0"/>
      </w:pPr>
      <w:r>
        <w:separator/>
      </w:r>
    </w:p>
  </w:footnote>
  <w:footnote w:type="continuationSeparator" w:id="0">
    <w:p w14:paraId="7477A8C3" w14:textId="77777777" w:rsidR="00372FB2" w:rsidRDefault="00372FB2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57EC" w14:textId="77777777" w:rsidR="00A54FFF" w:rsidRDefault="00A54FFF" w:rsidP="00B33C50">
    <w:pPr>
      <w:pStyle w:val="Header"/>
      <w:tabs>
        <w:tab w:val="clear" w:pos="9026"/>
        <w:tab w:val="right" w:pos="13892"/>
      </w:tabs>
      <w:rPr>
        <w:b/>
        <w:i/>
        <w:color w:val="FF0000"/>
        <w:sz w:val="20"/>
        <w:szCs w:val="20"/>
      </w:rPr>
    </w:pPr>
  </w:p>
  <w:p w14:paraId="768286A5" w14:textId="77777777" w:rsidR="001D46BE" w:rsidRDefault="001D46BE" w:rsidP="001D46BE">
    <w:pPr>
      <w:pStyle w:val="Header"/>
      <w:tabs>
        <w:tab w:val="clear" w:pos="9026"/>
        <w:tab w:val="right" w:pos="13892"/>
      </w:tabs>
      <w:jc w:val="center"/>
      <w:rPr>
        <w:b/>
        <w:i/>
        <w:color w:val="FF0000"/>
        <w:sz w:val="20"/>
        <w:szCs w:val="20"/>
      </w:rPr>
    </w:pPr>
  </w:p>
  <w:p w14:paraId="14C4451F" w14:textId="6F365F98" w:rsidR="006C328D" w:rsidRPr="006C328D" w:rsidRDefault="006C328D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2B2135CB" wp14:editId="1996BAB4">
          <wp:extent cx="3205353" cy="47680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5353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4FB4F80A" wp14:editId="004591B6">
          <wp:extent cx="1425274" cy="353261"/>
          <wp:effectExtent l="0" t="0" r="381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5274" cy="353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in;height:36pt" o:bullet="t">
        <v:imagedata r:id="rId1" o:title="Teal-Triangles"/>
      </v:shape>
    </w:pict>
  </w:numPicBullet>
  <w:numPicBullet w:numPicBulletId="1">
    <w:pict>
      <v:shape id="_x0000_i1054" type="#_x0000_t75" style="width:1in;height:36pt" o:bullet="t">
        <v:imagedata r:id="rId2" o:title="Pink-Triangles"/>
      </v:shape>
    </w:pict>
  </w:numPicBullet>
  <w:numPicBullet w:numPicBulletId="2">
    <w:pict>
      <v:shape id="_x0000_i1055" type="#_x0000_t75" style="width:1in;height:36pt" o:bullet="t">
        <v:imagedata r:id="rId3" o:title="Yellow-Triangles"/>
      </v:shape>
    </w:pict>
  </w:numPicBullet>
  <w:abstractNum w:abstractNumId="0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F6B24"/>
    <w:multiLevelType w:val="hybridMultilevel"/>
    <w:tmpl w:val="3984C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41848101">
    <w:abstractNumId w:val="11"/>
  </w:num>
  <w:num w:numId="2" w16cid:durableId="986861326">
    <w:abstractNumId w:val="10"/>
  </w:num>
  <w:num w:numId="3" w16cid:durableId="296448955">
    <w:abstractNumId w:val="3"/>
  </w:num>
  <w:num w:numId="4" w16cid:durableId="543060529">
    <w:abstractNumId w:val="9"/>
  </w:num>
  <w:num w:numId="5" w16cid:durableId="1633056327">
    <w:abstractNumId w:val="8"/>
  </w:num>
  <w:num w:numId="6" w16cid:durableId="1375814918">
    <w:abstractNumId w:val="6"/>
  </w:num>
  <w:num w:numId="7" w16cid:durableId="128133960">
    <w:abstractNumId w:val="0"/>
  </w:num>
  <w:num w:numId="8" w16cid:durableId="584995641">
    <w:abstractNumId w:val="1"/>
  </w:num>
  <w:num w:numId="9" w16cid:durableId="627397439">
    <w:abstractNumId w:val="2"/>
  </w:num>
  <w:num w:numId="10" w16cid:durableId="1977028547">
    <w:abstractNumId w:val="7"/>
  </w:num>
  <w:num w:numId="11" w16cid:durableId="1586835901">
    <w:abstractNumId w:val="4"/>
  </w:num>
  <w:num w:numId="12" w16cid:durableId="14282205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033DC3"/>
    <w:rsid w:val="001032DB"/>
    <w:rsid w:val="001C1233"/>
    <w:rsid w:val="001D46BE"/>
    <w:rsid w:val="001D4700"/>
    <w:rsid w:val="001F0953"/>
    <w:rsid w:val="001F39F5"/>
    <w:rsid w:val="002B4EB8"/>
    <w:rsid w:val="002E5307"/>
    <w:rsid w:val="00372FB2"/>
    <w:rsid w:val="003773D8"/>
    <w:rsid w:val="003D24BB"/>
    <w:rsid w:val="003E40BA"/>
    <w:rsid w:val="00420110"/>
    <w:rsid w:val="00497E42"/>
    <w:rsid w:val="004C0765"/>
    <w:rsid w:val="004F6AAF"/>
    <w:rsid w:val="00553CD2"/>
    <w:rsid w:val="00557514"/>
    <w:rsid w:val="005B458E"/>
    <w:rsid w:val="005F7712"/>
    <w:rsid w:val="006A23C4"/>
    <w:rsid w:val="006A55A2"/>
    <w:rsid w:val="006C328D"/>
    <w:rsid w:val="007B01C8"/>
    <w:rsid w:val="007B7BB9"/>
    <w:rsid w:val="007F78F7"/>
    <w:rsid w:val="008402E0"/>
    <w:rsid w:val="0084590A"/>
    <w:rsid w:val="0084657A"/>
    <w:rsid w:val="008F7517"/>
    <w:rsid w:val="00916350"/>
    <w:rsid w:val="009552C6"/>
    <w:rsid w:val="009B769E"/>
    <w:rsid w:val="009D6658"/>
    <w:rsid w:val="009E159F"/>
    <w:rsid w:val="009E2ADA"/>
    <w:rsid w:val="009E6619"/>
    <w:rsid w:val="00A31A76"/>
    <w:rsid w:val="00A54FFF"/>
    <w:rsid w:val="00A91FDC"/>
    <w:rsid w:val="00B33C50"/>
    <w:rsid w:val="00B5474A"/>
    <w:rsid w:val="00BB73BF"/>
    <w:rsid w:val="00C73C52"/>
    <w:rsid w:val="00D01439"/>
    <w:rsid w:val="00D04207"/>
    <w:rsid w:val="00D14F43"/>
    <w:rsid w:val="00D407A5"/>
    <w:rsid w:val="00D70B9B"/>
    <w:rsid w:val="00D958E3"/>
    <w:rsid w:val="00E37624"/>
    <w:rsid w:val="00FB030E"/>
    <w:rsid w:val="00FB2C52"/>
    <w:rsid w:val="00FD2ADF"/>
    <w:rsid w:val="00FD6E5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F32FF"/>
  <w15:docId w15:val="{55DE76BA-4093-4B02-966F-8DC8369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ADF"/>
  </w:style>
  <w:style w:type="paragraph" w:styleId="Heading1">
    <w:name w:val="heading 1"/>
    <w:basedOn w:val="Normal"/>
    <w:next w:val="Normal"/>
    <w:link w:val="Heading1Char"/>
    <w:uiPriority w:val="9"/>
    <w:qFormat/>
    <w:rsid w:val="008402E0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02E0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4E7D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02E0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4E7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1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402E0"/>
    <w:rPr>
      <w:rFonts w:asciiTheme="majorHAnsi" w:eastAsiaTheme="majorEastAsia" w:hAnsiTheme="majorHAnsi" w:cstheme="majorBidi"/>
      <w:color w:val="004E7D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3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3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3"/>
      </w:numPr>
    </w:pPr>
  </w:style>
  <w:style w:type="paragraph" w:customStyle="1" w:styleId="FigureTitle">
    <w:name w:val="Figure Title"/>
    <w:basedOn w:val="Normal"/>
    <w:uiPriority w:val="12"/>
    <w:qFormat/>
    <w:rsid w:val="00557514"/>
    <w:pPr>
      <w:keepNext/>
      <w:numPr>
        <w:numId w:val="4"/>
      </w:numPr>
      <w:spacing w:before="240"/>
    </w:pPr>
    <w:rPr>
      <w:rFonts w:asciiTheme="majorHAnsi" w:hAnsiTheme="majorHAnsi"/>
      <w:color w:val="004E7D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402E0"/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402E0"/>
    <w:rPr>
      <w:rFonts w:asciiTheme="majorHAnsi" w:eastAsiaTheme="majorEastAsia" w:hAnsiTheme="majorHAnsi" w:cstheme="majorBidi"/>
      <w:color w:val="004E7D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5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5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B5474A"/>
    <w:pPr>
      <w:spacing w:before="240" w:after="240"/>
      <w:contextualSpacing/>
    </w:pPr>
    <w:rPr>
      <w:rFonts w:asciiTheme="majorHAnsi" w:hAnsiTheme="majorHAnsi"/>
      <w:color w:val="004E7D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6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6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6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rsid w:val="00D01439"/>
    <w:pPr>
      <w:numPr>
        <w:numId w:val="7"/>
      </w:numPr>
      <w:spacing w:before="480" w:after="480" w:line="340" w:lineRule="atLeast"/>
    </w:pPr>
    <w:rPr>
      <w:color w:val="004E7D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8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9"/>
      </w:numPr>
    </w:pPr>
  </w:style>
  <w:style w:type="paragraph" w:customStyle="1" w:styleId="PullOut-Pink">
    <w:name w:val="Pull Out - Pink"/>
    <w:basedOn w:val="PullOut-Teal"/>
    <w:uiPriority w:val="22"/>
    <w:rsid w:val="005B458E"/>
    <w:pPr>
      <w:numPr>
        <w:numId w:val="10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557514"/>
    <w:pPr>
      <w:spacing w:before="180" w:after="480" w:line="200" w:lineRule="atLeast"/>
      <w:ind w:right="2268"/>
    </w:pPr>
    <w:rPr>
      <w:rFonts w:asciiTheme="majorHAnsi" w:hAnsiTheme="majorHAnsi"/>
      <w:iCs/>
      <w:color w:val="004E7D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8402E0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4E7D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8402E0"/>
    <w:rPr>
      <w:rFonts w:asciiTheme="majorHAnsi" w:eastAsiaTheme="majorEastAsia" w:hAnsiTheme="majorHAnsi" w:cstheme="majorBidi"/>
      <w:color w:val="004E7D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D01439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4E7D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D01439"/>
    <w:rPr>
      <w:rFonts w:eastAsiaTheme="minorEastAsia"/>
      <w:color w:val="004E7D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D01439"/>
    <w:rPr>
      <w:b/>
      <w:bCs/>
      <w:smallCaps/>
      <w:color w:val="004E7D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439"/>
    <w:pPr>
      <w:pBdr>
        <w:top w:val="single" w:sz="4" w:space="10" w:color="00847E" w:themeColor="accent1"/>
        <w:bottom w:val="single" w:sz="4" w:space="10" w:color="00847E" w:themeColor="accent1"/>
      </w:pBdr>
      <w:spacing w:before="360" w:after="360"/>
      <w:ind w:left="864" w:right="864"/>
      <w:jc w:val="center"/>
    </w:pPr>
    <w:rPr>
      <w:i/>
      <w:iCs/>
      <w:color w:val="004E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439"/>
    <w:rPr>
      <w:i/>
      <w:iCs/>
      <w:color w:val="004E7D"/>
    </w:rPr>
  </w:style>
  <w:style w:type="paragraph" w:styleId="ListParagraph">
    <w:name w:val="List Paragraph"/>
    <w:basedOn w:val="Normal"/>
    <w:uiPriority w:val="34"/>
    <w:rsid w:val="004201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2ADF"/>
    <w:rPr>
      <w:color w:val="004E7D"/>
      <w:u w:val="single"/>
    </w:rPr>
  </w:style>
  <w:style w:type="table" w:styleId="TableGrid">
    <w:name w:val="Table Grid"/>
    <w:basedOn w:val="TableNormal"/>
    <w:uiPriority w:val="59"/>
    <w:rsid w:val="003D24B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2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 Item" ma:contentTypeID="0x01010037581DFBB9924576A005A4A1995DD10D001BC120C84BAF1049BC9567D96DB3AF79" ma:contentTypeVersion="12" ma:contentTypeDescription="Resource Item" ma:contentTypeScope="" ma:versionID="fb9ddc587373c7381d7d2aac4b480ccd">
  <xsd:schema xmlns:xsd="http://www.w3.org/2001/XMLSchema" xmlns:xs="http://www.w3.org/2001/XMLSchema" xmlns:p="http://schemas.microsoft.com/office/2006/metadata/properties" xmlns:ns2="28b94040-26a8-469a-8038-0c82e6a14f19" xmlns:ns3="979ab06a-6535-4638-b59f-980faa50cb4b" targetNamespace="http://schemas.microsoft.com/office/2006/metadata/properties" ma:root="true" ma:fieldsID="261ad8be543d6a8f4df0b667c1d79f67" ns2:_="" ns3:_="">
    <xsd:import namespace="28b94040-26a8-469a-8038-0c82e6a14f19"/>
    <xsd:import namespace="979ab06a-6535-4638-b59f-980faa50cb4b"/>
    <xsd:element name="properties">
      <xsd:complexType>
        <xsd:sequence>
          <xsd:element name="documentManagement">
            <xsd:complexType>
              <xsd:all>
                <xsd:element ref="ns2:TeqsaDocumentType" minOccurs="0"/>
                <xsd:element ref="ns2:TeqsaTeam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4040-26a8-469a-8038-0c82e6a14f19" elementFormDefault="qualified">
    <xsd:import namespace="http://schemas.microsoft.com/office/2006/documentManagement/types"/>
    <xsd:import namespace="http://schemas.microsoft.com/office/infopath/2007/PartnerControls"/>
    <xsd:element name="TeqsaDocumentType" ma:index="1" nillable="true" ma:displayName="Type" ma:format="Dropdown" ma:internalName="TeqsaDocument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ommunique"/>
                    <xsd:enumeration value="Knowledge Articl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qsaTeam" ma:index="2" nillable="true" ma:displayName="Team" ma:format="Dropdown" ma:internalName="Teqsa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knowledgement of Country"/>
                    <xsd:enumeration value="Annual Report"/>
                    <xsd:enumeration value="APS Employee Census"/>
                    <xsd:enumeration value="Assessment and Investigations"/>
                    <xsd:enumeration value="Assurance"/>
                    <xsd:enumeration value="Brand"/>
                    <xsd:enumeration value="Business Solutions"/>
                    <xsd:enumeration value="Case Management Handbook"/>
                    <xsd:enumeration value="Commission"/>
                    <xsd:enumeration value="Communications"/>
                    <xsd:enumeration value="Compliance and Investigations"/>
                    <xsd:enumeration value="Corporate"/>
                    <xsd:enumeration value="COVIDSafe"/>
                    <xsd:enumeration value="CRIS"/>
                    <xsd:enumeration value="CRM"/>
                    <xsd:enumeration value="Culture and Values"/>
                    <xsd:enumeration value="ELT"/>
                    <xsd:enumeration value="Emergency"/>
                    <xsd:enumeration value="Engagement"/>
                    <xsd:enumeration value="Enterprise Agreement"/>
                    <xsd:enumeration value="Executive Office"/>
                    <xsd:enumeration value="Experts and Events"/>
                    <xsd:enumeration value="Finance"/>
                    <xsd:enumeration value="Governance"/>
                    <xsd:enumeration value="Harassment Contact Officers"/>
                    <xsd:enumeration value="Higher Education Integrity Unit"/>
                    <xsd:enumeration value="HR Policies and Procedures"/>
                    <xsd:enumeration value="ICT"/>
                    <xsd:enumeration value="Inclusion and Diversity"/>
                    <xsd:enumeration value="IT"/>
                    <xsd:enumeration value="Learning Committee"/>
                    <xsd:enumeration value="Learning Development"/>
                    <xsd:enumeration value="Legal"/>
                    <xsd:enumeration value="Library"/>
                    <xsd:enumeration value="Mental Health"/>
                    <xsd:enumeration value="Orientation"/>
                    <xsd:enumeration value="Parliamentary Liaison"/>
                    <xsd:enumeration value="People and Capability"/>
                    <xsd:enumeration value="Policy and Analysis"/>
                    <xsd:enumeration value="Policy and Research"/>
                    <xsd:enumeration value="Provider Category Standards"/>
                    <xsd:enumeration value="Provider Management Solution"/>
                    <xsd:enumeration value="Quality Assurance"/>
                    <xsd:enumeration value="Reception"/>
                    <xsd:enumeration value="Recognition and Awards"/>
                    <xsd:enumeration value="Records Management"/>
                    <xsd:enumeration value="Records Management Project"/>
                    <xsd:enumeration value="Regulatory Operations"/>
                    <xsd:enumeration value="RUOK"/>
                    <xsd:enumeration value="Secretariat"/>
                    <xsd:enumeration value="Security"/>
                    <xsd:enumeration value="SMT"/>
                    <xsd:enumeration value="Social club"/>
                    <xsd:enumeration value="Social media"/>
                    <xsd:enumeration value="Specialisation"/>
                    <xsd:enumeration value="Staff Consultative Committee"/>
                    <xsd:enumeration value="Thematic Analysis"/>
                    <xsd:enumeration value="TRAC"/>
                    <xsd:enumeration value="Updates for Staff"/>
                    <xsd:enumeration value="Work Health and Safety Committe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b06a-6535-4638-b59f-980faa50cb4b" elementFormDefault="qualified">
    <xsd:import namespace="http://schemas.microsoft.com/office/2006/documentManagement/types"/>
    <xsd:import namespace="http://schemas.microsoft.com/office/infopath/2007/PartnerControls"/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qsaDocumentType xmlns="28b94040-26a8-469a-8038-0c82e6a14f19">
      <Value>Template</Value>
    </TeqsaDocumentType>
    <TeqsaTeam xmlns="28b94040-26a8-469a-8038-0c82e6a14f19">
      <Value>Brand</Value>
      <Value>Communications</Value>
      <Value>Engagement</Value>
    </TeqsaTeam>
    <Owner xmlns="979ab06a-6535-4638-b59f-980faa50cb4b">
      <UserInfo>
        <DisplayName>Tom Hewitt-McManus</DisplayName>
        <AccountId>20</AccountId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033572F-9438-4F07-96DE-B937D6C4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4040-26a8-469a-8038-0c82e6a14f19"/>
    <ds:schemaRef ds:uri="979ab06a-6535-4638-b59f-980faa50c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E1C12-8773-409A-B29D-4FC4E6BF5F01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979ab06a-6535-4638-b59f-980faa50cb4b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8b94040-26a8-469a-8038-0c82e6a14f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Company>Tertiary Education Quality and Standards Agency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creator>Irene Lichtwark</dc:creator>
  <cp:lastModifiedBy>Allison Bannan</cp:lastModifiedBy>
  <cp:revision>2</cp:revision>
  <dcterms:created xsi:type="dcterms:W3CDTF">2022-09-13T05:17:00Z</dcterms:created>
  <dcterms:modified xsi:type="dcterms:W3CDTF">2022-09-13T05:17:00Z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0x01010037581DFBB9924576A005A4A1995DD10D001BC120C84BAF1049BC9567D96DB3AF79</vt:lpwstr>
  </property>
  <property fmtid="{D5CDD505-2E9C-101B-9397-08002B2CF9AE}" pid="3" name="Team">
    <vt:lpwstr>45;#Comms and International|f1db5572-7306-443e-a442-d56c9f2c52d1</vt:lpwstr>
  </property>
</Properties>
</file>