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976C5" w14:textId="00B20E8A" w:rsidR="00B759C1" w:rsidRPr="00C95EAF" w:rsidRDefault="00CE56E5" w:rsidP="00C95EAF">
      <w:pPr>
        <w:pStyle w:val="Heading1"/>
        <w:spacing w:after="600"/>
        <w:rPr>
          <w:i/>
          <w:noProof/>
          <w:color w:val="00A299"/>
        </w:rPr>
      </w:pPr>
      <w:r>
        <w:rPr>
          <w:noProof/>
          <w:color w:val="00A299"/>
        </w:rPr>
        <w:t>Compliance Guide</w:t>
      </w:r>
      <w:r w:rsidR="00B759C1" w:rsidRPr="00C95EAF">
        <w:rPr>
          <w:noProof/>
          <w:color w:val="00A299"/>
        </w:rPr>
        <w:t xml:space="preserve">: </w:t>
      </w:r>
      <w:r w:rsidR="00B759C1" w:rsidRPr="00EB2087">
        <w:rPr>
          <w:i/>
          <w:noProof/>
          <w:color w:val="00A299"/>
        </w:rPr>
        <w:t>Scholarship</w:t>
      </w:r>
    </w:p>
    <w:p w14:paraId="080CBC56" w14:textId="3517A614" w:rsidR="00772E72" w:rsidRDefault="00B759C1" w:rsidP="00AE1FDB">
      <w:pPr>
        <w:rPr>
          <w:rStyle w:val="SubtleEmphasis"/>
          <w:noProof/>
          <w:color w:val="000000" w:themeColor="text1"/>
        </w:rPr>
      </w:pPr>
      <w:r w:rsidRPr="00ED2C0D">
        <w:rPr>
          <w:rStyle w:val="SubtleEmphasis"/>
          <w:noProof/>
        </w:rPr>
        <w:t xml:space="preserve">Version </w:t>
      </w:r>
      <w:r w:rsidR="003C0410" w:rsidRPr="00ED2C0D">
        <w:rPr>
          <w:rStyle w:val="SubtleEmphasis"/>
          <w:noProof/>
        </w:rPr>
        <w:t>3</w:t>
      </w:r>
      <w:r w:rsidRPr="00ED2C0D">
        <w:rPr>
          <w:rStyle w:val="SubtleEmphasis"/>
          <w:noProof/>
        </w:rPr>
        <w:t>.</w:t>
      </w:r>
      <w:r w:rsidR="003C0410" w:rsidRPr="00ED2C0D">
        <w:rPr>
          <w:rStyle w:val="SubtleEmphasis"/>
          <w:noProof/>
        </w:rPr>
        <w:t xml:space="preserve">0 </w:t>
      </w:r>
      <w:r w:rsidRPr="00ED2C0D">
        <w:rPr>
          <w:rStyle w:val="SubtleEmphasis"/>
          <w:noProof/>
        </w:rPr>
        <w:t>(</w:t>
      </w:r>
      <w:r w:rsidR="00ED2C0D">
        <w:rPr>
          <w:rStyle w:val="SubtleEmphasis"/>
          <w:noProof/>
        </w:rPr>
        <w:t>DD MM</w:t>
      </w:r>
      <w:r w:rsidR="003C0410" w:rsidRPr="00ED2C0D">
        <w:rPr>
          <w:rStyle w:val="SubtleEmphasis"/>
          <w:noProof/>
        </w:rPr>
        <w:t xml:space="preserve"> 2021</w:t>
      </w:r>
      <w:r w:rsidRPr="00ED2C0D">
        <w:rPr>
          <w:rStyle w:val="SubtleEmphasis"/>
          <w:noProof/>
        </w:rPr>
        <w:t>)</w:t>
      </w:r>
    </w:p>
    <w:p w14:paraId="451BD70B" w14:textId="5DECE069" w:rsidR="00772E72" w:rsidRPr="00772E72" w:rsidRDefault="00772E72" w:rsidP="00AE1FDB">
      <w:pPr>
        <w:pBdr>
          <w:top w:val="single" w:sz="4" w:space="1" w:color="auto"/>
          <w:left w:val="single" w:sz="4" w:space="4" w:color="auto"/>
          <w:bottom w:val="single" w:sz="4" w:space="1" w:color="auto"/>
          <w:right w:val="single" w:sz="4" w:space="4" w:color="auto"/>
        </w:pBdr>
        <w:shd w:val="clear" w:color="auto" w:fill="A2DADD" w:themeFill="accent5"/>
        <w:spacing w:line="276" w:lineRule="auto"/>
        <w:rPr>
          <w:rStyle w:val="SubtleEmphasis"/>
          <w:noProof/>
          <w:color w:val="000000" w:themeColor="text1"/>
        </w:rPr>
      </w:pPr>
      <w:r w:rsidRPr="00AC1131">
        <w:rPr>
          <w:rStyle w:val="SubtleEmphasis"/>
          <w:noProof/>
          <w:color w:val="000000" w:themeColor="text1"/>
        </w:rPr>
        <w:t xml:space="preserve">Providers should note that </w:t>
      </w:r>
      <w:r w:rsidR="00CE56E5">
        <w:rPr>
          <w:rStyle w:val="SubtleEmphasis"/>
          <w:noProof/>
          <w:color w:val="000000" w:themeColor="text1"/>
        </w:rPr>
        <w:t>Compliance Guides</w:t>
      </w:r>
      <w:r w:rsidRPr="00AC1131">
        <w:rPr>
          <w:rStyle w:val="SubtleEmphasis"/>
          <w:noProof/>
          <w:color w:val="000000" w:themeColor="text1"/>
        </w:rPr>
        <w:t xml:space="preserve"> are intended to provide guidance only. The definitive instruments for regulatory purposes remain the TEQSA Act and the Higher Education Standards Framework as amended from time to time.</w:t>
      </w:r>
    </w:p>
    <w:p w14:paraId="0B66C110" w14:textId="77777777" w:rsidR="00B759C1" w:rsidRPr="00C95EAF" w:rsidRDefault="00B759C1" w:rsidP="00B759C1">
      <w:pPr>
        <w:pStyle w:val="Heading2"/>
        <w:rPr>
          <w:noProof/>
        </w:rPr>
      </w:pPr>
      <w:r w:rsidRPr="00C95EAF">
        <w:rPr>
          <w:noProof/>
        </w:rPr>
        <w:t>What does scholarship encompass?</w:t>
      </w:r>
    </w:p>
    <w:p w14:paraId="00094BCC" w14:textId="5764139C" w:rsidR="00B759C1" w:rsidRPr="00C95EAF" w:rsidRDefault="00B759C1" w:rsidP="00B759C1">
      <w:pPr>
        <w:rPr>
          <w:noProof/>
        </w:rPr>
      </w:pPr>
      <w:r w:rsidRPr="00C95EAF">
        <w:rPr>
          <w:noProof/>
        </w:rPr>
        <w:t xml:space="preserve">In the context of the </w:t>
      </w:r>
      <w:r w:rsidRPr="00C95EAF">
        <w:rPr>
          <w:i/>
          <w:noProof/>
        </w:rPr>
        <w:t>Higher Education Standards Framework (Threshold Standards) 20</w:t>
      </w:r>
      <w:r w:rsidR="00513E63">
        <w:rPr>
          <w:i/>
          <w:noProof/>
        </w:rPr>
        <w:t>21</w:t>
      </w:r>
      <w:r w:rsidRPr="00C95EAF">
        <w:rPr>
          <w:i/>
          <w:noProof/>
        </w:rPr>
        <w:t xml:space="preserve"> </w:t>
      </w:r>
      <w:r w:rsidRPr="00C95EAF">
        <w:rPr>
          <w:noProof/>
        </w:rPr>
        <w:t xml:space="preserve">(HES Framework), ‘scholarship’ means those </w:t>
      </w:r>
      <w:r w:rsidR="00513E63">
        <w:rPr>
          <w:noProof/>
        </w:rPr>
        <w:t xml:space="preserve">activities </w:t>
      </w:r>
      <w:r w:rsidRPr="00C95EAF">
        <w:rPr>
          <w:noProof/>
        </w:rPr>
        <w:t xml:space="preserve">concerned with gaining new or improved understanding, appreciation and insights into a field of knowledge, and engaging with and keeping up to date with advances in the field. </w:t>
      </w:r>
    </w:p>
    <w:p w14:paraId="7FAD816F" w14:textId="13CE0F7A" w:rsidR="00B759C1" w:rsidRPr="00C95EAF" w:rsidRDefault="00B759C1" w:rsidP="00B759C1">
      <w:pPr>
        <w:rPr>
          <w:noProof/>
        </w:rPr>
      </w:pPr>
      <w:r w:rsidRPr="00C95EAF">
        <w:rPr>
          <w:noProof/>
        </w:rPr>
        <w:t xml:space="preserve">Engagement in scholarship can be </w:t>
      </w:r>
      <w:r w:rsidR="001C1EC9">
        <w:rPr>
          <w:noProof/>
        </w:rPr>
        <w:t>considered</w:t>
      </w:r>
      <w:r w:rsidRPr="00C95EAF">
        <w:rPr>
          <w:noProof/>
        </w:rPr>
        <w:t xml:space="preserve">: </w:t>
      </w:r>
    </w:p>
    <w:p w14:paraId="1396BE0C" w14:textId="44230A3D" w:rsidR="00D30406" w:rsidRPr="00C1502B" w:rsidRDefault="00D30406" w:rsidP="00D30406">
      <w:pPr>
        <w:pStyle w:val="BulletsL2"/>
        <w:numPr>
          <w:ilvl w:val="0"/>
          <w:numId w:val="15"/>
        </w:numPr>
        <w:rPr>
          <w:noProof/>
          <w:lang w:val="en-AU"/>
        </w:rPr>
      </w:pPr>
      <w:r w:rsidRPr="00C1502B">
        <w:rPr>
          <w:noProof/>
          <w:lang w:val="en-AU"/>
        </w:rPr>
        <w:t xml:space="preserve">across a provider (e.g. policy frameworks, resource allocation, </w:t>
      </w:r>
      <w:r w:rsidR="00CF0246">
        <w:rPr>
          <w:noProof/>
          <w:lang w:val="en-AU"/>
        </w:rPr>
        <w:t xml:space="preserve">institutional </w:t>
      </w:r>
      <w:r w:rsidRPr="00C1502B">
        <w:rPr>
          <w:noProof/>
          <w:lang w:val="en-AU"/>
        </w:rPr>
        <w:t>expectations, staff development)</w:t>
      </w:r>
      <w:r>
        <w:rPr>
          <w:noProof/>
          <w:lang w:val="en-AU"/>
        </w:rPr>
        <w:t>, or</w:t>
      </w:r>
    </w:p>
    <w:p w14:paraId="3E4B8599" w14:textId="6D8B59C7" w:rsidR="00B759C1" w:rsidRPr="00C95EAF" w:rsidRDefault="009B4C7E" w:rsidP="00B759C1">
      <w:pPr>
        <w:pStyle w:val="BulletsL2"/>
        <w:numPr>
          <w:ilvl w:val="0"/>
          <w:numId w:val="15"/>
        </w:numPr>
        <w:rPr>
          <w:noProof/>
          <w:lang w:val="en-AU"/>
        </w:rPr>
      </w:pPr>
      <w:r w:rsidRPr="00C95EAF">
        <w:rPr>
          <w:noProof/>
          <w:lang w:val="en-AU"/>
        </w:rPr>
        <w:t>a</w:t>
      </w:r>
      <w:r w:rsidR="00883173" w:rsidRPr="00C95EAF">
        <w:rPr>
          <w:noProof/>
          <w:lang w:val="en-AU"/>
        </w:rPr>
        <w:t xml:space="preserve">t </w:t>
      </w:r>
      <w:r w:rsidR="00B759C1" w:rsidRPr="00C95EAF">
        <w:rPr>
          <w:noProof/>
          <w:lang w:val="en-AU"/>
        </w:rPr>
        <w:t>the level of individual activity (e.g. part of an individual’s personal professional development, teaching, research or professional practice)</w:t>
      </w:r>
      <w:r w:rsidR="006A420F">
        <w:rPr>
          <w:noProof/>
          <w:lang w:val="en-AU"/>
        </w:rPr>
        <w:t>.</w:t>
      </w:r>
      <w:r w:rsidR="00B759C1" w:rsidRPr="00C95EAF">
        <w:rPr>
          <w:noProof/>
          <w:lang w:val="en-AU"/>
        </w:rPr>
        <w:t xml:space="preserve"> </w:t>
      </w:r>
    </w:p>
    <w:p w14:paraId="474EADB1" w14:textId="02993D63" w:rsidR="00B759C1" w:rsidRPr="00C95EAF" w:rsidRDefault="00B759C1" w:rsidP="00B759C1">
      <w:pPr>
        <w:rPr>
          <w:noProof/>
        </w:rPr>
      </w:pPr>
      <w:r w:rsidRPr="00C95EAF">
        <w:rPr>
          <w:noProof/>
        </w:rPr>
        <w:t>Various aspects are relevant to higher education, but at its core</w:t>
      </w:r>
      <w:r w:rsidR="00A0583F">
        <w:rPr>
          <w:noProof/>
        </w:rPr>
        <w:t xml:space="preserve"> scholarship</w:t>
      </w:r>
      <w:r w:rsidRPr="00C95EAF">
        <w:rPr>
          <w:noProof/>
        </w:rPr>
        <w:t>:</w:t>
      </w:r>
    </w:p>
    <w:p w14:paraId="306A46DA" w14:textId="4BD4AA33" w:rsidR="00B759C1" w:rsidRPr="00C95EAF" w:rsidRDefault="00B759C1" w:rsidP="00B759C1">
      <w:pPr>
        <w:pStyle w:val="BulletsL2"/>
        <w:numPr>
          <w:ilvl w:val="0"/>
          <w:numId w:val="16"/>
        </w:numPr>
        <w:rPr>
          <w:noProof/>
          <w:lang w:val="en-AU"/>
        </w:rPr>
      </w:pPr>
      <w:r w:rsidRPr="00C95EAF">
        <w:rPr>
          <w:noProof/>
          <w:lang w:val="en-AU"/>
        </w:rPr>
        <w:t>advanc</w:t>
      </w:r>
      <w:r w:rsidR="00D85C53">
        <w:rPr>
          <w:noProof/>
          <w:lang w:val="en-AU"/>
        </w:rPr>
        <w:t>es</w:t>
      </w:r>
      <w:r w:rsidRPr="00C95EAF">
        <w:rPr>
          <w:noProof/>
          <w:lang w:val="en-AU"/>
        </w:rPr>
        <w:t xml:space="preserve"> knowledge or professional practice in a field</w:t>
      </w:r>
    </w:p>
    <w:p w14:paraId="782CF415" w14:textId="748801CC" w:rsidR="00B759C1" w:rsidRDefault="00A0583F" w:rsidP="00AE1FDB">
      <w:pPr>
        <w:pStyle w:val="BulletsL2"/>
        <w:numPr>
          <w:ilvl w:val="0"/>
          <w:numId w:val="16"/>
        </w:numPr>
        <w:spacing w:after="360"/>
        <w:rPr>
          <w:noProof/>
          <w:lang w:val="en-AU"/>
        </w:rPr>
      </w:pPr>
      <w:r>
        <w:rPr>
          <w:noProof/>
          <w:lang w:val="en-AU"/>
        </w:rPr>
        <w:t>t</w:t>
      </w:r>
      <w:r w:rsidR="00B759C1" w:rsidRPr="00C95EAF">
        <w:rPr>
          <w:noProof/>
          <w:lang w:val="en-AU"/>
        </w:rPr>
        <w:t>ransmi</w:t>
      </w:r>
      <w:r w:rsidR="00855952" w:rsidRPr="00C95EAF">
        <w:rPr>
          <w:noProof/>
          <w:lang w:val="en-AU"/>
        </w:rPr>
        <w:t>t</w:t>
      </w:r>
      <w:r w:rsidR="00D85C53">
        <w:rPr>
          <w:noProof/>
          <w:lang w:val="en-AU"/>
        </w:rPr>
        <w:t>s</w:t>
      </w:r>
      <w:r w:rsidR="00B759C1" w:rsidRPr="00C95EAF">
        <w:rPr>
          <w:noProof/>
          <w:lang w:val="en-AU"/>
        </w:rPr>
        <w:t xml:space="preserve"> advances through contemporary approaches to teaching and learning, and research training if applicable. </w:t>
      </w:r>
    </w:p>
    <w:p w14:paraId="0DDED2B1" w14:textId="3540FA93" w:rsidR="004677FD" w:rsidRPr="00C95EAF" w:rsidRDefault="004677FD" w:rsidP="00AE1FDB">
      <w:pPr>
        <w:spacing w:before="0"/>
        <w:rPr>
          <w:noProof/>
        </w:rPr>
      </w:pPr>
      <w:r w:rsidRPr="00C1502B">
        <w:rPr>
          <w:noProof/>
        </w:rPr>
        <w:t xml:space="preserve">TEQSA acknowledges scholarship may </w:t>
      </w:r>
      <w:r w:rsidR="00E2779C">
        <w:rPr>
          <w:noProof/>
        </w:rPr>
        <w:t>vary</w:t>
      </w:r>
      <w:r w:rsidRPr="00C1502B">
        <w:rPr>
          <w:noProof/>
        </w:rPr>
        <w:t xml:space="preserve"> within and between providers</w:t>
      </w:r>
      <w:r w:rsidR="00E93A2B">
        <w:rPr>
          <w:noProof/>
        </w:rPr>
        <w:t xml:space="preserve"> and that</w:t>
      </w:r>
      <w:r w:rsidR="00513E63">
        <w:rPr>
          <w:noProof/>
        </w:rPr>
        <w:t xml:space="preserve"> </w:t>
      </w:r>
      <w:r w:rsidR="00E93A2B">
        <w:rPr>
          <w:noProof/>
        </w:rPr>
        <w:t>t</w:t>
      </w:r>
      <w:r w:rsidR="00691462">
        <w:rPr>
          <w:noProof/>
        </w:rPr>
        <w:t xml:space="preserve">he mission of the provider </w:t>
      </w:r>
      <w:r w:rsidR="00E93A2B">
        <w:rPr>
          <w:noProof/>
        </w:rPr>
        <w:t xml:space="preserve">may </w:t>
      </w:r>
      <w:r w:rsidR="00691462">
        <w:rPr>
          <w:noProof/>
        </w:rPr>
        <w:t xml:space="preserve">influence the type of </w:t>
      </w:r>
      <w:r w:rsidR="009C6277">
        <w:rPr>
          <w:noProof/>
        </w:rPr>
        <w:t>scholarship practiced</w:t>
      </w:r>
      <w:r w:rsidR="00691462">
        <w:rPr>
          <w:noProof/>
        </w:rPr>
        <w:t xml:space="preserve">. </w:t>
      </w:r>
      <w:r w:rsidRPr="00C1502B">
        <w:rPr>
          <w:noProof/>
        </w:rPr>
        <w:t>TEQSA also recognises th</w:t>
      </w:r>
      <w:r w:rsidR="00E2779C">
        <w:rPr>
          <w:noProof/>
        </w:rPr>
        <w:t>e</w:t>
      </w:r>
      <w:r w:rsidRPr="00C1502B">
        <w:rPr>
          <w:noProof/>
        </w:rPr>
        <w:t xml:space="preserve"> diverse strategies </w:t>
      </w:r>
      <w:r w:rsidR="00691462">
        <w:rPr>
          <w:noProof/>
        </w:rPr>
        <w:t xml:space="preserve">used </w:t>
      </w:r>
      <w:r w:rsidRPr="00C1502B">
        <w:rPr>
          <w:noProof/>
        </w:rPr>
        <w:t xml:space="preserve">to develop, support and sustain scholarship, both at the institutional level and </w:t>
      </w:r>
      <w:r>
        <w:rPr>
          <w:noProof/>
        </w:rPr>
        <w:t>for</w:t>
      </w:r>
      <w:r w:rsidRPr="00C1502B">
        <w:rPr>
          <w:noProof/>
        </w:rPr>
        <w:t xml:space="preserve"> individual staff</w:t>
      </w:r>
      <w:r w:rsidR="00E2779C">
        <w:rPr>
          <w:noProof/>
        </w:rPr>
        <w:t>.</w:t>
      </w:r>
      <w:r w:rsidRPr="00C1502B">
        <w:rPr>
          <w:noProof/>
        </w:rPr>
        <w:t xml:space="preserve"> </w:t>
      </w:r>
    </w:p>
    <w:p w14:paraId="385777C2" w14:textId="10E4B705" w:rsidR="00EE2440" w:rsidRPr="00EE2440" w:rsidRDefault="00B8295E" w:rsidP="004F1B3E">
      <w:pPr>
        <w:rPr>
          <w:bCs/>
          <w:noProof/>
        </w:rPr>
      </w:pPr>
      <w:r w:rsidRPr="00F67EE5">
        <w:rPr>
          <w:bCs/>
          <w:noProof/>
        </w:rPr>
        <w:t>TEQSA</w:t>
      </w:r>
      <w:r>
        <w:rPr>
          <w:bCs/>
          <w:noProof/>
        </w:rPr>
        <w:t xml:space="preserve"> recognises there is no singular definition of scholarship and </w:t>
      </w:r>
      <w:r w:rsidR="00AF028D">
        <w:rPr>
          <w:bCs/>
          <w:noProof/>
        </w:rPr>
        <w:t>acknowledges providers may use</w:t>
      </w:r>
      <w:r>
        <w:rPr>
          <w:bCs/>
          <w:noProof/>
        </w:rPr>
        <w:t xml:space="preserve"> various </w:t>
      </w:r>
      <w:r w:rsidR="00AF028D">
        <w:rPr>
          <w:bCs/>
          <w:noProof/>
        </w:rPr>
        <w:t xml:space="preserve">approaches </w:t>
      </w:r>
      <w:r w:rsidR="006B2B2D">
        <w:rPr>
          <w:noProof/>
        </w:rPr>
        <w:t xml:space="preserve">to organise the full range of their scholarly activities. </w:t>
      </w:r>
      <w:r w:rsidR="00513E63">
        <w:rPr>
          <w:noProof/>
        </w:rPr>
        <w:t>However, TEQSA requires evidence of a systematic approach to organising scholarship irrespective of the type of scholarship practiced.</w:t>
      </w:r>
    </w:p>
    <w:p w14:paraId="608553FC" w14:textId="77777777" w:rsidR="00B759C1" w:rsidRPr="00C95EAF" w:rsidRDefault="00B759C1" w:rsidP="00B759C1">
      <w:pPr>
        <w:pStyle w:val="Heading2"/>
        <w:rPr>
          <w:noProof/>
        </w:rPr>
      </w:pPr>
      <w:r w:rsidRPr="00C95EAF">
        <w:rPr>
          <w:noProof/>
        </w:rPr>
        <w:t>What TEQSA will look for</w:t>
      </w:r>
    </w:p>
    <w:p w14:paraId="111CEE8F" w14:textId="35512568" w:rsidR="00B759C1" w:rsidRPr="00C95EAF" w:rsidRDefault="00B759C1" w:rsidP="00B759C1">
      <w:pPr>
        <w:rPr>
          <w:noProof/>
        </w:rPr>
      </w:pPr>
      <w:r w:rsidRPr="00C95EAF">
        <w:rPr>
          <w:noProof/>
        </w:rPr>
        <w:t>The HES Framework require</w:t>
      </w:r>
      <w:r w:rsidR="00E218A3">
        <w:rPr>
          <w:noProof/>
        </w:rPr>
        <w:t>s</w:t>
      </w:r>
      <w:r w:rsidRPr="00C95EAF">
        <w:rPr>
          <w:noProof/>
        </w:rPr>
        <w:t xml:space="preserve"> TEQSA to consider a provider’s engagement with scholarship at several levels. These include:</w:t>
      </w:r>
    </w:p>
    <w:p w14:paraId="1DF893FB" w14:textId="41420ACF" w:rsidR="00B759C1" w:rsidRPr="00C95EAF" w:rsidRDefault="00B759C1" w:rsidP="0066741F">
      <w:pPr>
        <w:pStyle w:val="BulletsL2"/>
        <w:numPr>
          <w:ilvl w:val="0"/>
          <w:numId w:val="22"/>
        </w:numPr>
        <w:rPr>
          <w:noProof/>
          <w:lang w:val="en-AU"/>
        </w:rPr>
      </w:pPr>
      <w:r w:rsidRPr="00C95EAF">
        <w:rPr>
          <w:noProof/>
          <w:lang w:val="en-AU"/>
        </w:rPr>
        <w:t>scholarship directly associated with informing teaching and learning, including disciplinary scholarship</w:t>
      </w:r>
      <w:r w:rsidR="008724D7">
        <w:rPr>
          <w:noProof/>
          <w:lang w:val="en-AU"/>
        </w:rPr>
        <w:t xml:space="preserve"> (Provider Category Criteria B1.1.2, B1.2.6 and B1.3.9</w:t>
      </w:r>
      <w:r w:rsidR="00970CE3">
        <w:rPr>
          <w:noProof/>
          <w:lang w:val="en-AU"/>
        </w:rPr>
        <w:t>, as applicable</w:t>
      </w:r>
      <w:r w:rsidR="008724D7">
        <w:rPr>
          <w:noProof/>
          <w:lang w:val="en-AU"/>
        </w:rPr>
        <w:t>)</w:t>
      </w:r>
    </w:p>
    <w:p w14:paraId="6451C837" w14:textId="458CFCDC" w:rsidR="00B759C1" w:rsidRPr="00C95EAF" w:rsidRDefault="00B759C1" w:rsidP="0066741F">
      <w:pPr>
        <w:pStyle w:val="BulletsL2"/>
        <w:numPr>
          <w:ilvl w:val="0"/>
          <w:numId w:val="22"/>
        </w:numPr>
        <w:rPr>
          <w:noProof/>
          <w:lang w:val="en-AU"/>
        </w:rPr>
      </w:pPr>
      <w:r w:rsidRPr="00C95EAF">
        <w:rPr>
          <w:noProof/>
          <w:lang w:val="en-AU"/>
        </w:rPr>
        <w:t>scholarship contributing to the design and delivery of particular courses</w:t>
      </w:r>
      <w:r w:rsidR="00B21B26">
        <w:rPr>
          <w:noProof/>
          <w:lang w:val="en-AU"/>
        </w:rPr>
        <w:t xml:space="preserve"> of study</w:t>
      </w:r>
      <w:r w:rsidRPr="00C95EAF">
        <w:rPr>
          <w:noProof/>
          <w:lang w:val="en-AU"/>
        </w:rPr>
        <w:t xml:space="preserve"> </w:t>
      </w:r>
      <w:r w:rsidR="008724D7">
        <w:rPr>
          <w:noProof/>
          <w:lang w:val="en-AU"/>
        </w:rPr>
        <w:t>(Standards 3.1.2 and 3.2.3)</w:t>
      </w:r>
    </w:p>
    <w:p w14:paraId="307AE37D" w14:textId="48239C5E" w:rsidR="00B759C1" w:rsidRPr="00C95EAF" w:rsidRDefault="00B759C1" w:rsidP="0066741F">
      <w:pPr>
        <w:pStyle w:val="BulletsL2"/>
        <w:numPr>
          <w:ilvl w:val="0"/>
          <w:numId w:val="22"/>
        </w:numPr>
        <w:rPr>
          <w:noProof/>
          <w:lang w:val="en-AU"/>
        </w:rPr>
      </w:pPr>
      <w:r w:rsidRPr="00C95EAF">
        <w:rPr>
          <w:noProof/>
          <w:lang w:val="en-AU"/>
        </w:rPr>
        <w:lastRenderedPageBreak/>
        <w:t xml:space="preserve">scholarship associated with research and research training, if applicable </w:t>
      </w:r>
      <w:r w:rsidR="008724D7">
        <w:rPr>
          <w:noProof/>
          <w:lang w:val="en-AU"/>
        </w:rPr>
        <w:t>(Standard 4.2.2)</w:t>
      </w:r>
    </w:p>
    <w:p w14:paraId="7575EF66" w14:textId="7ABB65A8" w:rsidR="00B759C1" w:rsidRPr="00C95EAF" w:rsidRDefault="00B759C1" w:rsidP="00AE1FDB">
      <w:pPr>
        <w:pStyle w:val="BulletsL2"/>
        <w:numPr>
          <w:ilvl w:val="0"/>
          <w:numId w:val="22"/>
        </w:numPr>
        <w:spacing w:after="360"/>
        <w:rPr>
          <w:noProof/>
          <w:lang w:val="en-AU"/>
        </w:rPr>
      </w:pPr>
      <w:r w:rsidRPr="00C95EAF">
        <w:rPr>
          <w:noProof/>
          <w:lang w:val="en-AU"/>
        </w:rPr>
        <w:t>institutional encouragement and support for scholarship across all courses of study</w:t>
      </w:r>
      <w:r w:rsidR="008724D7">
        <w:rPr>
          <w:noProof/>
          <w:lang w:val="en-AU"/>
        </w:rPr>
        <w:t xml:space="preserve"> (Provider Category Criteria B1.1.2, B1.2.6 and B1.3.9</w:t>
      </w:r>
      <w:r w:rsidR="00970CE3">
        <w:rPr>
          <w:noProof/>
          <w:lang w:val="en-AU"/>
        </w:rPr>
        <w:t>, as applicable</w:t>
      </w:r>
      <w:r w:rsidR="008724D7">
        <w:rPr>
          <w:noProof/>
          <w:lang w:val="en-AU"/>
        </w:rPr>
        <w:t>)</w:t>
      </w:r>
      <w:r w:rsidR="00691462">
        <w:rPr>
          <w:noProof/>
          <w:lang w:val="en-AU"/>
        </w:rPr>
        <w:t>.</w:t>
      </w:r>
    </w:p>
    <w:p w14:paraId="05C1C4DC" w14:textId="0B62BC86" w:rsidR="00513E63" w:rsidRPr="00BF312D" w:rsidRDefault="00691462" w:rsidP="00691462">
      <w:pPr>
        <w:rPr>
          <w:noProof/>
        </w:rPr>
      </w:pPr>
      <w:r w:rsidRPr="00BF312D">
        <w:rPr>
          <w:noProof/>
        </w:rPr>
        <w:t>TEQSA will need to be satisfied that evidence of scholarship relates directly to advanc</w:t>
      </w:r>
      <w:r>
        <w:rPr>
          <w:noProof/>
        </w:rPr>
        <w:t>es in</w:t>
      </w:r>
      <w:r w:rsidRPr="00BF312D">
        <w:rPr>
          <w:noProof/>
        </w:rPr>
        <w:t xml:space="preserve"> knowledge or approaches to teaching and learning in a field. </w:t>
      </w:r>
      <w:r>
        <w:rPr>
          <w:noProof/>
        </w:rPr>
        <w:t xml:space="preserve">To assess </w:t>
      </w:r>
      <w:r w:rsidR="00A0583F">
        <w:rPr>
          <w:noProof/>
        </w:rPr>
        <w:t>this,</w:t>
      </w:r>
      <w:r>
        <w:rPr>
          <w:noProof/>
        </w:rPr>
        <w:t xml:space="preserve"> </w:t>
      </w:r>
      <w:r w:rsidRPr="00BF312D">
        <w:rPr>
          <w:noProof/>
        </w:rPr>
        <w:t>TEQSA may consider</w:t>
      </w:r>
      <w:r w:rsidR="00A0583F">
        <w:rPr>
          <w:noProof/>
        </w:rPr>
        <w:t>:</w:t>
      </w:r>
      <w:r w:rsidRPr="00BF312D">
        <w:rPr>
          <w:noProof/>
        </w:rPr>
        <w:t xml:space="preserve"> </w:t>
      </w:r>
    </w:p>
    <w:p w14:paraId="12B6F29D" w14:textId="60BE4C8E" w:rsidR="00691462" w:rsidRPr="00BF312D" w:rsidRDefault="00691462" w:rsidP="00836815">
      <w:pPr>
        <w:pStyle w:val="ListParagraph"/>
        <w:numPr>
          <w:ilvl w:val="0"/>
          <w:numId w:val="33"/>
        </w:numPr>
        <w:rPr>
          <w:noProof/>
        </w:rPr>
      </w:pPr>
      <w:r w:rsidRPr="00BF312D">
        <w:rPr>
          <w:noProof/>
        </w:rPr>
        <w:t xml:space="preserve">institutional policies </w:t>
      </w:r>
      <w:r>
        <w:rPr>
          <w:noProof/>
        </w:rPr>
        <w:t xml:space="preserve">and operations </w:t>
      </w:r>
    </w:p>
    <w:p w14:paraId="0F8636B9" w14:textId="77777777" w:rsidR="00691462" w:rsidRPr="00BF312D" w:rsidRDefault="00691462" w:rsidP="00691462">
      <w:pPr>
        <w:pStyle w:val="BulletsL2"/>
        <w:numPr>
          <w:ilvl w:val="0"/>
          <w:numId w:val="22"/>
        </w:numPr>
        <w:rPr>
          <w:noProof/>
          <w:lang w:val="en-AU"/>
        </w:rPr>
      </w:pPr>
      <w:r w:rsidRPr="00BF312D">
        <w:rPr>
          <w:noProof/>
          <w:lang w:val="en-AU"/>
        </w:rPr>
        <w:t xml:space="preserve">institutional course design approval processes </w:t>
      </w:r>
    </w:p>
    <w:p w14:paraId="2AEE07D6" w14:textId="77777777" w:rsidR="00691462" w:rsidRPr="00BF312D" w:rsidRDefault="00691462" w:rsidP="00691462">
      <w:pPr>
        <w:pStyle w:val="BulletsL2"/>
        <w:numPr>
          <w:ilvl w:val="0"/>
          <w:numId w:val="22"/>
        </w:numPr>
        <w:rPr>
          <w:noProof/>
          <w:lang w:val="en-AU"/>
        </w:rPr>
      </w:pPr>
      <w:r w:rsidRPr="00BF312D">
        <w:rPr>
          <w:noProof/>
          <w:lang w:val="en-AU"/>
        </w:rPr>
        <w:t xml:space="preserve">staffing policies that recognise and encourage scholarship (e.g. recruitment, promotion, professional development) </w:t>
      </w:r>
    </w:p>
    <w:p w14:paraId="08AF722A" w14:textId="77777777" w:rsidR="00691462" w:rsidRPr="00BF312D" w:rsidRDefault="00691462" w:rsidP="00691462">
      <w:pPr>
        <w:pStyle w:val="BulletsL2"/>
        <w:numPr>
          <w:ilvl w:val="0"/>
          <w:numId w:val="22"/>
        </w:numPr>
        <w:rPr>
          <w:noProof/>
          <w:lang w:val="en-AU"/>
        </w:rPr>
      </w:pPr>
      <w:r w:rsidRPr="00BF312D">
        <w:rPr>
          <w:noProof/>
          <w:lang w:val="en-AU"/>
        </w:rPr>
        <w:t>resource allocation (e.g. journal access, scholarly library collections, conference attendance)</w:t>
      </w:r>
    </w:p>
    <w:p w14:paraId="4DBB6B6E" w14:textId="52EE596B" w:rsidR="00691462" w:rsidRPr="00BF312D" w:rsidRDefault="00691462" w:rsidP="00AE1FDB">
      <w:pPr>
        <w:pStyle w:val="BulletsL2"/>
        <w:numPr>
          <w:ilvl w:val="0"/>
          <w:numId w:val="22"/>
        </w:numPr>
        <w:rPr>
          <w:noProof/>
          <w:lang w:val="en-AU"/>
        </w:rPr>
      </w:pPr>
      <w:r w:rsidRPr="00BF312D">
        <w:rPr>
          <w:noProof/>
          <w:lang w:val="en-AU"/>
        </w:rPr>
        <w:t>institutional activities (e.g. seminars, discussion</w:t>
      </w:r>
      <w:r w:rsidR="00727494">
        <w:rPr>
          <w:noProof/>
          <w:lang w:val="en-AU"/>
        </w:rPr>
        <w:t>s</w:t>
      </w:r>
      <w:r w:rsidRPr="00BF312D">
        <w:rPr>
          <w:noProof/>
          <w:lang w:val="en-AU"/>
        </w:rPr>
        <w:t>)</w:t>
      </w:r>
    </w:p>
    <w:p w14:paraId="486E16B6" w14:textId="5807A930" w:rsidR="00B759C1" w:rsidRDefault="00276729" w:rsidP="00AE1FDB">
      <w:pPr>
        <w:pStyle w:val="BulletsL2"/>
        <w:numPr>
          <w:ilvl w:val="0"/>
          <w:numId w:val="22"/>
        </w:numPr>
        <w:spacing w:after="360"/>
        <w:rPr>
          <w:noProof/>
          <w:lang w:val="en-AU"/>
        </w:rPr>
      </w:pPr>
      <w:r w:rsidRPr="00BF312D">
        <w:rPr>
          <w:noProof/>
          <w:lang w:val="en-AU"/>
        </w:rPr>
        <w:t xml:space="preserve">requirements </w:t>
      </w:r>
      <w:r>
        <w:rPr>
          <w:noProof/>
          <w:lang w:val="en-AU"/>
        </w:rPr>
        <w:t xml:space="preserve">for the </w:t>
      </w:r>
      <w:r w:rsidR="003C559A" w:rsidRPr="00BF312D">
        <w:rPr>
          <w:noProof/>
          <w:lang w:val="en-AU"/>
        </w:rPr>
        <w:t>provider</w:t>
      </w:r>
      <w:r>
        <w:rPr>
          <w:noProof/>
          <w:lang w:val="en-AU"/>
        </w:rPr>
        <w:t>’s</w:t>
      </w:r>
      <w:r w:rsidR="003C559A" w:rsidRPr="003C559A">
        <w:rPr>
          <w:noProof/>
          <w:lang w:val="en-AU"/>
        </w:rPr>
        <w:t xml:space="preserve"> </w:t>
      </w:r>
      <w:r w:rsidRPr="00C95EAF">
        <w:rPr>
          <w:noProof/>
          <w:lang w:val="en-AU"/>
        </w:rPr>
        <w:t>categor</w:t>
      </w:r>
      <w:r>
        <w:rPr>
          <w:noProof/>
          <w:lang w:val="en-AU"/>
        </w:rPr>
        <w:t>y</w:t>
      </w:r>
      <w:r w:rsidRPr="00C95EAF">
        <w:rPr>
          <w:noProof/>
          <w:lang w:val="en-AU"/>
        </w:rPr>
        <w:t xml:space="preserve"> </w:t>
      </w:r>
      <w:r w:rsidR="003C559A">
        <w:rPr>
          <w:noProof/>
          <w:lang w:val="en-AU"/>
        </w:rPr>
        <w:t>and</w:t>
      </w:r>
      <w:r w:rsidR="00B759C1" w:rsidRPr="00C95EAF">
        <w:rPr>
          <w:noProof/>
          <w:lang w:val="en-AU"/>
        </w:rPr>
        <w:t xml:space="preserve"> self-accrediting</w:t>
      </w:r>
      <w:r>
        <w:rPr>
          <w:noProof/>
          <w:lang w:val="en-AU"/>
        </w:rPr>
        <w:t xml:space="preserve"> authority</w:t>
      </w:r>
      <w:r w:rsidR="00B759C1" w:rsidRPr="00C95EAF">
        <w:rPr>
          <w:noProof/>
          <w:lang w:val="en-AU"/>
        </w:rPr>
        <w:t>.</w:t>
      </w:r>
    </w:p>
    <w:p w14:paraId="48F0C334" w14:textId="3F4A67CA" w:rsidR="00EF4D66" w:rsidRPr="00C95EAF" w:rsidRDefault="00EF4D66" w:rsidP="00EF4D66">
      <w:pPr>
        <w:rPr>
          <w:noProof/>
        </w:rPr>
      </w:pPr>
      <w:r>
        <w:rPr>
          <w:noProof/>
        </w:rPr>
        <w:t>C</w:t>
      </w:r>
      <w:r w:rsidRPr="00C1502B">
        <w:rPr>
          <w:noProof/>
        </w:rPr>
        <w:t>onsistent with the relevant application guidelines</w:t>
      </w:r>
      <w:r w:rsidR="00513E63">
        <w:rPr>
          <w:noProof/>
        </w:rPr>
        <w:t xml:space="preserve"> for individual providers</w:t>
      </w:r>
      <w:r w:rsidRPr="00C95EAF">
        <w:rPr>
          <w:noProof/>
        </w:rPr>
        <w:t xml:space="preserve"> TEQSA will need to be satisfied that:</w:t>
      </w:r>
    </w:p>
    <w:p w14:paraId="577D8638" w14:textId="77777777" w:rsidR="00EF4D66" w:rsidRPr="00C95EAF" w:rsidRDefault="00EF4D66" w:rsidP="00EF4D66">
      <w:pPr>
        <w:pStyle w:val="BulletsL2"/>
        <w:numPr>
          <w:ilvl w:val="0"/>
          <w:numId w:val="26"/>
        </w:numPr>
        <w:rPr>
          <w:noProof/>
          <w:lang w:val="en-AU"/>
        </w:rPr>
      </w:pPr>
      <w:r w:rsidRPr="00C95EAF">
        <w:rPr>
          <w:noProof/>
          <w:lang w:val="en-AU"/>
        </w:rPr>
        <w:t xml:space="preserve">course design has been informed by </w:t>
      </w:r>
      <w:r>
        <w:rPr>
          <w:noProof/>
          <w:lang w:val="en-AU"/>
        </w:rPr>
        <w:t xml:space="preserve">the </w:t>
      </w:r>
      <w:r w:rsidRPr="00C1502B">
        <w:rPr>
          <w:noProof/>
          <w:lang w:val="en-AU"/>
        </w:rPr>
        <w:t>appropriate level</w:t>
      </w:r>
      <w:r w:rsidRPr="00EA4D67">
        <w:rPr>
          <w:noProof/>
          <w:lang w:val="en-AU"/>
        </w:rPr>
        <w:t xml:space="preserve"> </w:t>
      </w:r>
      <w:r>
        <w:rPr>
          <w:noProof/>
          <w:lang w:val="en-AU"/>
        </w:rPr>
        <w:t xml:space="preserve">of </w:t>
      </w:r>
      <w:r w:rsidRPr="00C95EAF">
        <w:rPr>
          <w:noProof/>
          <w:lang w:val="en-AU"/>
        </w:rPr>
        <w:t xml:space="preserve">relevant scholarship </w:t>
      </w:r>
    </w:p>
    <w:p w14:paraId="0592F481" w14:textId="77777777" w:rsidR="00EF4D66" w:rsidRPr="00C95EAF" w:rsidRDefault="00EF4D66" w:rsidP="00EF4D66">
      <w:pPr>
        <w:pStyle w:val="BulletsL2"/>
        <w:numPr>
          <w:ilvl w:val="0"/>
          <w:numId w:val="26"/>
        </w:numPr>
        <w:rPr>
          <w:noProof/>
          <w:lang w:val="en-AU"/>
        </w:rPr>
      </w:pPr>
      <w:r w:rsidRPr="00C95EAF">
        <w:rPr>
          <w:noProof/>
          <w:lang w:val="en-AU"/>
        </w:rPr>
        <w:t xml:space="preserve">individual </w:t>
      </w:r>
      <w:r>
        <w:rPr>
          <w:noProof/>
          <w:lang w:val="en-AU"/>
        </w:rPr>
        <w:t xml:space="preserve">leadership and course delivery </w:t>
      </w:r>
      <w:r w:rsidRPr="00C95EAF">
        <w:rPr>
          <w:noProof/>
          <w:lang w:val="en-AU"/>
        </w:rPr>
        <w:t>staff are involved in relevant</w:t>
      </w:r>
      <w:r>
        <w:rPr>
          <w:noProof/>
          <w:lang w:val="en-AU"/>
        </w:rPr>
        <w:t>,</w:t>
      </w:r>
      <w:r w:rsidRPr="00C95EAF">
        <w:rPr>
          <w:noProof/>
          <w:lang w:val="en-AU"/>
        </w:rPr>
        <w:t xml:space="preserve"> continuing scholarship at a level consistent with the level of the course(s) </w:t>
      </w:r>
    </w:p>
    <w:p w14:paraId="71BAAA63" w14:textId="77777777" w:rsidR="00EF4D66" w:rsidRPr="00C95EAF" w:rsidRDefault="00EF4D66" w:rsidP="00AE1FDB">
      <w:pPr>
        <w:pStyle w:val="BulletsL2"/>
        <w:numPr>
          <w:ilvl w:val="0"/>
          <w:numId w:val="26"/>
        </w:numPr>
        <w:spacing w:after="360"/>
        <w:rPr>
          <w:noProof/>
          <w:lang w:val="en-AU"/>
        </w:rPr>
      </w:pPr>
      <w:r w:rsidRPr="00C95EAF">
        <w:rPr>
          <w:noProof/>
          <w:lang w:val="en-AU"/>
        </w:rPr>
        <w:t>students are referred to, and engage with, relevant scholarship through</w:t>
      </w:r>
      <w:r>
        <w:rPr>
          <w:noProof/>
          <w:lang w:val="en-AU"/>
        </w:rPr>
        <w:t>out</w:t>
      </w:r>
      <w:r w:rsidRPr="00C95EAF">
        <w:rPr>
          <w:noProof/>
          <w:lang w:val="en-AU"/>
        </w:rPr>
        <w:t xml:space="preserve"> the course.</w:t>
      </w:r>
    </w:p>
    <w:p w14:paraId="1C04BB12" w14:textId="58230623" w:rsidR="003D549B" w:rsidRPr="00C95EAF" w:rsidRDefault="003D549B" w:rsidP="003D549B">
      <w:pPr>
        <w:rPr>
          <w:noProof/>
        </w:rPr>
      </w:pPr>
      <w:r w:rsidRPr="00C95EAF">
        <w:rPr>
          <w:noProof/>
        </w:rPr>
        <w:t xml:space="preserve">In an environment of scholarly activity, TEQSA would expect a range of different forms of scholarship, </w:t>
      </w:r>
      <w:r w:rsidR="00513E63">
        <w:rPr>
          <w:noProof/>
        </w:rPr>
        <w:t>such as</w:t>
      </w:r>
      <w:r w:rsidRPr="00C95EAF">
        <w:rPr>
          <w:noProof/>
        </w:rPr>
        <w:t>:</w:t>
      </w:r>
    </w:p>
    <w:p w14:paraId="7C895469" w14:textId="3C64D04E" w:rsidR="003D549B" w:rsidRPr="00C95EAF" w:rsidRDefault="00AF028D" w:rsidP="003D549B">
      <w:pPr>
        <w:pStyle w:val="BulletsL2"/>
        <w:numPr>
          <w:ilvl w:val="0"/>
          <w:numId w:val="23"/>
        </w:numPr>
        <w:rPr>
          <w:noProof/>
          <w:lang w:val="en-AU"/>
        </w:rPr>
      </w:pPr>
      <w:r>
        <w:rPr>
          <w:noProof/>
          <w:lang w:val="en-AU"/>
        </w:rPr>
        <w:t xml:space="preserve">peer reviewed </w:t>
      </w:r>
      <w:r w:rsidR="003D549B" w:rsidRPr="00C95EAF">
        <w:rPr>
          <w:noProof/>
          <w:lang w:val="en-AU"/>
        </w:rPr>
        <w:t xml:space="preserve">scholarly </w:t>
      </w:r>
      <w:r w:rsidR="00455DEF">
        <w:rPr>
          <w:noProof/>
          <w:lang w:val="en-AU"/>
        </w:rPr>
        <w:t>output/</w:t>
      </w:r>
      <w:r w:rsidR="003D549B" w:rsidRPr="00C95EAF">
        <w:rPr>
          <w:noProof/>
          <w:lang w:val="en-AU"/>
        </w:rPr>
        <w:t>publication/communication</w:t>
      </w:r>
      <w:r>
        <w:rPr>
          <w:noProof/>
          <w:lang w:val="en-AU"/>
        </w:rPr>
        <w:t xml:space="preserve"> </w:t>
      </w:r>
      <w:r w:rsidR="003D549B">
        <w:rPr>
          <w:noProof/>
          <w:lang w:val="en-AU"/>
        </w:rPr>
        <w:t>(e.g</w:t>
      </w:r>
      <w:r w:rsidR="00B8295E">
        <w:rPr>
          <w:noProof/>
          <w:lang w:val="en-AU"/>
        </w:rPr>
        <w:t xml:space="preserve"> </w:t>
      </w:r>
      <w:r w:rsidR="003D549B" w:rsidRPr="00C95EAF">
        <w:rPr>
          <w:noProof/>
          <w:lang w:val="en-AU"/>
        </w:rPr>
        <w:t>literature reviews</w:t>
      </w:r>
      <w:r w:rsidR="003D549B">
        <w:rPr>
          <w:noProof/>
          <w:lang w:val="en-AU"/>
        </w:rPr>
        <w:t xml:space="preserve">, </w:t>
      </w:r>
      <w:r w:rsidR="003D549B" w:rsidRPr="00C95EAF">
        <w:rPr>
          <w:noProof/>
          <w:lang w:val="en-AU"/>
        </w:rPr>
        <w:t>conference presentations</w:t>
      </w:r>
      <w:r>
        <w:rPr>
          <w:noProof/>
          <w:lang w:val="en-AU"/>
        </w:rPr>
        <w:t>, journal publications</w:t>
      </w:r>
      <w:r w:rsidR="003D549B">
        <w:rPr>
          <w:noProof/>
          <w:lang w:val="en-AU"/>
        </w:rPr>
        <w:t>)</w:t>
      </w:r>
    </w:p>
    <w:p w14:paraId="3B784D29" w14:textId="52AF5730" w:rsidR="003D549B" w:rsidRPr="00C95EAF" w:rsidRDefault="003D549B" w:rsidP="003D549B">
      <w:pPr>
        <w:pStyle w:val="BulletsL2"/>
        <w:numPr>
          <w:ilvl w:val="0"/>
          <w:numId w:val="23"/>
        </w:numPr>
        <w:rPr>
          <w:noProof/>
          <w:lang w:val="en-AU"/>
        </w:rPr>
      </w:pPr>
      <w:r w:rsidRPr="00C95EAF">
        <w:rPr>
          <w:noProof/>
          <w:lang w:val="en-AU"/>
        </w:rPr>
        <w:t>scholarly review</w:t>
      </w:r>
      <w:r>
        <w:rPr>
          <w:noProof/>
          <w:lang w:val="en-AU"/>
        </w:rPr>
        <w:t xml:space="preserve">, </w:t>
      </w:r>
      <w:r w:rsidRPr="00C95EAF">
        <w:rPr>
          <w:noProof/>
          <w:lang w:val="en-AU"/>
        </w:rPr>
        <w:t>original research or teaching practice that contribute</w:t>
      </w:r>
      <w:r>
        <w:rPr>
          <w:noProof/>
          <w:lang w:val="en-AU"/>
        </w:rPr>
        <w:t>s</w:t>
      </w:r>
      <w:r w:rsidRPr="00C95EAF">
        <w:rPr>
          <w:noProof/>
          <w:lang w:val="en-AU"/>
        </w:rPr>
        <w:t xml:space="preserve"> to course development</w:t>
      </w:r>
    </w:p>
    <w:p w14:paraId="1134F20B" w14:textId="11DF2A6D" w:rsidR="003D549B" w:rsidRDefault="00696B8F" w:rsidP="003D549B">
      <w:pPr>
        <w:pStyle w:val="BulletsL2"/>
        <w:numPr>
          <w:ilvl w:val="0"/>
          <w:numId w:val="23"/>
        </w:numPr>
        <w:rPr>
          <w:noProof/>
          <w:lang w:val="en-AU"/>
        </w:rPr>
      </w:pPr>
      <w:r>
        <w:rPr>
          <w:noProof/>
          <w:lang w:val="en-AU"/>
        </w:rPr>
        <w:t>synthesising and communicating advances in practice</w:t>
      </w:r>
      <w:r w:rsidR="00B8295E">
        <w:rPr>
          <w:noProof/>
          <w:lang w:val="en-AU"/>
        </w:rPr>
        <w:t xml:space="preserve"> </w:t>
      </w:r>
      <w:r w:rsidR="003D549B">
        <w:rPr>
          <w:noProof/>
          <w:lang w:val="en-AU"/>
        </w:rPr>
        <w:t>(e.g.</w:t>
      </w:r>
      <w:r w:rsidR="003D549B" w:rsidRPr="00C95EAF">
        <w:rPr>
          <w:noProof/>
          <w:lang w:val="en-AU"/>
        </w:rPr>
        <w:t xml:space="preserve"> presentations on current knowledge, practice, or teaching and learning in a field</w:t>
      </w:r>
      <w:r w:rsidR="003D549B">
        <w:rPr>
          <w:noProof/>
          <w:lang w:val="en-AU"/>
        </w:rPr>
        <w:t>)</w:t>
      </w:r>
    </w:p>
    <w:p w14:paraId="596D9E57" w14:textId="77777777" w:rsidR="00691462" w:rsidRPr="00C1502B" w:rsidRDefault="00691462" w:rsidP="00691462">
      <w:pPr>
        <w:pStyle w:val="BulletsL2"/>
        <w:numPr>
          <w:ilvl w:val="0"/>
          <w:numId w:val="23"/>
        </w:numPr>
        <w:rPr>
          <w:noProof/>
          <w:lang w:val="en-AU"/>
        </w:rPr>
      </w:pPr>
      <w:r w:rsidRPr="00C1502B">
        <w:rPr>
          <w:noProof/>
          <w:lang w:val="en-AU"/>
        </w:rPr>
        <w:t>teaching practice</w:t>
      </w:r>
      <w:r>
        <w:rPr>
          <w:noProof/>
          <w:lang w:val="en-AU"/>
        </w:rPr>
        <w:t xml:space="preserve"> engaged in</w:t>
      </w:r>
      <w:r w:rsidRPr="00C1502B">
        <w:rPr>
          <w:noProof/>
          <w:lang w:val="en-AU"/>
        </w:rPr>
        <w:t xml:space="preserve"> the latest ideas, debates and issues </w:t>
      </w:r>
      <w:r>
        <w:rPr>
          <w:noProof/>
          <w:lang w:val="en-AU"/>
        </w:rPr>
        <w:t xml:space="preserve">(e.g. </w:t>
      </w:r>
      <w:r w:rsidRPr="00C1502B">
        <w:rPr>
          <w:noProof/>
          <w:lang w:val="en-AU"/>
        </w:rPr>
        <w:t>improved pedagogies, learning processes, curricula, academic policies and learning materials</w:t>
      </w:r>
      <w:r>
        <w:rPr>
          <w:noProof/>
          <w:lang w:val="en-AU"/>
        </w:rPr>
        <w:t>)</w:t>
      </w:r>
    </w:p>
    <w:p w14:paraId="373642CC" w14:textId="77777777" w:rsidR="003D549B" w:rsidRPr="00C95EAF" w:rsidRDefault="003D549B" w:rsidP="003D549B">
      <w:pPr>
        <w:pStyle w:val="BulletsL2"/>
        <w:numPr>
          <w:ilvl w:val="0"/>
          <w:numId w:val="23"/>
        </w:numPr>
        <w:rPr>
          <w:noProof/>
          <w:lang w:val="en-AU"/>
        </w:rPr>
      </w:pPr>
      <w:r w:rsidRPr="00C95EAF">
        <w:rPr>
          <w:noProof/>
          <w:lang w:val="en-AU"/>
        </w:rPr>
        <w:t xml:space="preserve">contributions to </w:t>
      </w:r>
      <w:r>
        <w:rPr>
          <w:noProof/>
          <w:lang w:val="en-AU"/>
        </w:rPr>
        <w:t xml:space="preserve">relevant </w:t>
      </w:r>
      <w:r w:rsidRPr="00C95EAF">
        <w:rPr>
          <w:noProof/>
          <w:lang w:val="en-AU"/>
        </w:rPr>
        <w:t xml:space="preserve">professional bodies or communities of practice </w:t>
      </w:r>
      <w:r>
        <w:rPr>
          <w:noProof/>
          <w:lang w:val="en-AU"/>
        </w:rPr>
        <w:t xml:space="preserve">(e.g. </w:t>
      </w:r>
      <w:r w:rsidRPr="00C95EAF">
        <w:rPr>
          <w:noProof/>
          <w:lang w:val="en-AU"/>
        </w:rPr>
        <w:t>development of new standards, knowledge resources</w:t>
      </w:r>
      <w:r>
        <w:rPr>
          <w:noProof/>
          <w:lang w:val="en-AU"/>
        </w:rPr>
        <w:t>,</w:t>
      </w:r>
      <w:r w:rsidRPr="00C95EAF">
        <w:rPr>
          <w:noProof/>
          <w:lang w:val="en-AU"/>
        </w:rPr>
        <w:t xml:space="preserve"> </w:t>
      </w:r>
      <w:r>
        <w:rPr>
          <w:noProof/>
          <w:lang w:val="en-AU"/>
        </w:rPr>
        <w:t>c</w:t>
      </w:r>
      <w:r w:rsidRPr="00C95EAF">
        <w:rPr>
          <w:noProof/>
          <w:lang w:val="en-AU"/>
        </w:rPr>
        <w:t>odes of practice</w:t>
      </w:r>
      <w:r>
        <w:rPr>
          <w:noProof/>
          <w:lang w:val="en-AU"/>
        </w:rPr>
        <w:t>)</w:t>
      </w:r>
    </w:p>
    <w:p w14:paraId="37AD6BCB" w14:textId="2A658DDC" w:rsidR="003D549B" w:rsidRPr="00C95EAF" w:rsidRDefault="00B8295E" w:rsidP="003D549B">
      <w:pPr>
        <w:pStyle w:val="BulletsL2"/>
        <w:numPr>
          <w:ilvl w:val="0"/>
          <w:numId w:val="23"/>
        </w:numPr>
        <w:rPr>
          <w:noProof/>
          <w:lang w:val="en-AU"/>
        </w:rPr>
      </w:pPr>
      <w:r>
        <w:rPr>
          <w:noProof/>
          <w:lang w:val="en-AU"/>
        </w:rPr>
        <w:t xml:space="preserve">active and ongoing </w:t>
      </w:r>
      <w:r w:rsidR="003D549B" w:rsidRPr="00C95EAF">
        <w:rPr>
          <w:noProof/>
          <w:lang w:val="en-AU"/>
        </w:rPr>
        <w:t xml:space="preserve">involvement in relevant scholarly academic societies, editorial roles or peer review </w:t>
      </w:r>
    </w:p>
    <w:p w14:paraId="130D22DD" w14:textId="77777777" w:rsidR="003D549B" w:rsidRPr="00C95EAF" w:rsidRDefault="003D549B" w:rsidP="003D549B">
      <w:pPr>
        <w:pStyle w:val="BulletsL2"/>
        <w:numPr>
          <w:ilvl w:val="0"/>
          <w:numId w:val="23"/>
        </w:numPr>
        <w:rPr>
          <w:noProof/>
          <w:lang w:val="en-AU"/>
        </w:rPr>
      </w:pPr>
      <w:r w:rsidRPr="00C95EAF">
        <w:rPr>
          <w:noProof/>
          <w:lang w:val="en-AU"/>
        </w:rPr>
        <w:t>undertaking higher level qualifications that lead to scholarly activity, in particular high</w:t>
      </w:r>
      <w:r>
        <w:rPr>
          <w:noProof/>
          <w:lang w:val="en-AU"/>
        </w:rPr>
        <w:t>er</w:t>
      </w:r>
      <w:r w:rsidRPr="00C95EAF">
        <w:rPr>
          <w:noProof/>
          <w:lang w:val="en-AU"/>
        </w:rPr>
        <w:t xml:space="preserve"> degrees by research</w:t>
      </w:r>
    </w:p>
    <w:p w14:paraId="50BF8129" w14:textId="77777777" w:rsidR="003D549B" w:rsidRPr="00C95EAF" w:rsidRDefault="003D549B" w:rsidP="003D549B">
      <w:pPr>
        <w:pStyle w:val="BulletsL2"/>
        <w:numPr>
          <w:ilvl w:val="0"/>
          <w:numId w:val="23"/>
        </w:numPr>
        <w:spacing w:after="360"/>
        <w:rPr>
          <w:noProof/>
          <w:lang w:val="en-AU"/>
        </w:rPr>
      </w:pPr>
      <w:r w:rsidRPr="00C95EAF">
        <w:rPr>
          <w:noProof/>
          <w:lang w:val="en-AU"/>
        </w:rPr>
        <w:t>undertaking advanced specialised practice or scholarly secondments.</w:t>
      </w:r>
    </w:p>
    <w:p w14:paraId="07B61DD4" w14:textId="1CE94593" w:rsidR="00B77BDC" w:rsidRDefault="00F17802" w:rsidP="00C95EAF">
      <w:pPr>
        <w:rPr>
          <w:noProof/>
        </w:rPr>
      </w:pPr>
      <w:r>
        <w:rPr>
          <w:noProof/>
        </w:rPr>
        <w:lastRenderedPageBreak/>
        <w:t>Creative works</w:t>
      </w:r>
      <w:r w:rsidR="00D267A4">
        <w:rPr>
          <w:noProof/>
        </w:rPr>
        <w:t xml:space="preserve"> </w:t>
      </w:r>
      <w:r>
        <w:rPr>
          <w:noProof/>
        </w:rPr>
        <w:t xml:space="preserve">as scholarly outputs require a different approach. </w:t>
      </w:r>
      <w:r w:rsidR="00513E63">
        <w:rPr>
          <w:noProof/>
        </w:rPr>
        <w:t>To assess</w:t>
      </w:r>
      <w:r w:rsidR="00B759C1" w:rsidRPr="00C95EAF">
        <w:rPr>
          <w:noProof/>
        </w:rPr>
        <w:t xml:space="preserve"> the extent to which performance or creation of creative works constitute scholarship</w:t>
      </w:r>
      <w:r w:rsidR="00B77BDC">
        <w:rPr>
          <w:noProof/>
        </w:rPr>
        <w:t xml:space="preserve"> </w:t>
      </w:r>
      <w:r w:rsidR="00B77BDC" w:rsidRPr="00C95EAF">
        <w:rPr>
          <w:noProof/>
        </w:rPr>
        <w:t>(</w:t>
      </w:r>
      <w:r w:rsidR="00B77BDC">
        <w:rPr>
          <w:noProof/>
        </w:rPr>
        <w:t>e.g.</w:t>
      </w:r>
      <w:r w:rsidR="00B77BDC" w:rsidRPr="00C95EAF">
        <w:rPr>
          <w:noProof/>
        </w:rPr>
        <w:t xml:space="preserve"> music, drama, art and design)</w:t>
      </w:r>
      <w:r w:rsidR="00B759C1" w:rsidRPr="00C95EAF">
        <w:rPr>
          <w:noProof/>
        </w:rPr>
        <w:t xml:space="preserve"> </w:t>
      </w:r>
      <w:r w:rsidR="00C95EAF" w:rsidRPr="00A30E8A">
        <w:rPr>
          <w:noProof/>
        </w:rPr>
        <w:t xml:space="preserve">TEQSA will need to </w:t>
      </w:r>
      <w:r w:rsidR="00B77BDC">
        <w:rPr>
          <w:noProof/>
        </w:rPr>
        <w:t>be satisfied that:</w:t>
      </w:r>
    </w:p>
    <w:p w14:paraId="69F20927" w14:textId="57E0154F" w:rsidR="00B77BDC" w:rsidRDefault="00C95EAF" w:rsidP="009136B7">
      <w:pPr>
        <w:pStyle w:val="BulletsL2"/>
        <w:numPr>
          <w:ilvl w:val="0"/>
          <w:numId w:val="32"/>
        </w:numPr>
        <w:rPr>
          <w:noProof/>
        </w:rPr>
      </w:pPr>
      <w:r w:rsidRPr="00A30E8A">
        <w:rPr>
          <w:noProof/>
        </w:rPr>
        <w:t>scholarship inform</w:t>
      </w:r>
      <w:r w:rsidR="008A2F33">
        <w:rPr>
          <w:noProof/>
        </w:rPr>
        <w:t>s</w:t>
      </w:r>
      <w:r w:rsidRPr="00A30E8A">
        <w:rPr>
          <w:noProof/>
        </w:rPr>
        <w:t xml:space="preserve"> individual teaching or supervision</w:t>
      </w:r>
    </w:p>
    <w:p w14:paraId="7A12E234" w14:textId="57F8E39F" w:rsidR="00C95EAF" w:rsidRPr="00A30E8A" w:rsidRDefault="00B77BDC" w:rsidP="00AE1FDB">
      <w:pPr>
        <w:pStyle w:val="BulletsL2"/>
        <w:numPr>
          <w:ilvl w:val="0"/>
          <w:numId w:val="32"/>
        </w:numPr>
        <w:spacing w:after="360"/>
        <w:rPr>
          <w:noProof/>
        </w:rPr>
      </w:pPr>
      <w:r>
        <w:rPr>
          <w:noProof/>
        </w:rPr>
        <w:t>s</w:t>
      </w:r>
      <w:r w:rsidRPr="00A30E8A">
        <w:rPr>
          <w:noProof/>
        </w:rPr>
        <w:t>cholarship</w:t>
      </w:r>
      <w:r>
        <w:rPr>
          <w:noProof/>
        </w:rPr>
        <w:t xml:space="preserve"> participation </w:t>
      </w:r>
      <w:r w:rsidR="00C95EAF" w:rsidRPr="00AE1FDB">
        <w:rPr>
          <w:iCs/>
          <w:noProof/>
        </w:rPr>
        <w:t>informs teaching</w:t>
      </w:r>
      <w:r w:rsidRPr="00AE1FDB">
        <w:rPr>
          <w:iCs/>
          <w:noProof/>
        </w:rPr>
        <w:t xml:space="preserve"> practice</w:t>
      </w:r>
      <w:r w:rsidR="00C95EAF" w:rsidRPr="00A30E8A">
        <w:rPr>
          <w:noProof/>
        </w:rPr>
        <w:t xml:space="preserve"> as required by the </w:t>
      </w:r>
      <w:r w:rsidR="00513E63">
        <w:rPr>
          <w:noProof/>
        </w:rPr>
        <w:t>HES Framework</w:t>
      </w:r>
      <w:r w:rsidR="00C95EAF" w:rsidRPr="00A30E8A">
        <w:rPr>
          <w:noProof/>
        </w:rPr>
        <w:t xml:space="preserve">. </w:t>
      </w:r>
    </w:p>
    <w:p w14:paraId="023A975F" w14:textId="5388BB93" w:rsidR="00B77BDC" w:rsidRDefault="00B759C1" w:rsidP="00B759C1">
      <w:pPr>
        <w:rPr>
          <w:noProof/>
        </w:rPr>
      </w:pPr>
      <w:r w:rsidRPr="00C95EAF">
        <w:rPr>
          <w:noProof/>
        </w:rPr>
        <w:t xml:space="preserve">TEQSA’s view is that performance or production </w:t>
      </w:r>
      <w:r w:rsidR="008A2F33">
        <w:rPr>
          <w:noProof/>
        </w:rPr>
        <w:t xml:space="preserve">alone </w:t>
      </w:r>
      <w:r w:rsidR="00204BC7">
        <w:rPr>
          <w:noProof/>
        </w:rPr>
        <w:t>may</w:t>
      </w:r>
      <w:r w:rsidR="00204BC7" w:rsidRPr="00C95EAF">
        <w:rPr>
          <w:noProof/>
        </w:rPr>
        <w:t xml:space="preserve"> </w:t>
      </w:r>
      <w:r w:rsidRPr="00C95EAF">
        <w:rPr>
          <w:noProof/>
        </w:rPr>
        <w:t xml:space="preserve">not constitute scholarship. The </w:t>
      </w:r>
      <w:r w:rsidR="00E14487">
        <w:rPr>
          <w:noProof/>
        </w:rPr>
        <w:t xml:space="preserve">provider </w:t>
      </w:r>
      <w:r w:rsidRPr="00C95EAF">
        <w:rPr>
          <w:noProof/>
        </w:rPr>
        <w:t>would need to</w:t>
      </w:r>
      <w:r w:rsidR="00E14487">
        <w:rPr>
          <w:noProof/>
        </w:rPr>
        <w:t xml:space="preserve"> demonstrate the work meets the other criteria for scholarship listed above where relevant.</w:t>
      </w:r>
    </w:p>
    <w:p w14:paraId="11962617" w14:textId="0A872D65" w:rsidR="00F469C0" w:rsidRDefault="001845B1" w:rsidP="00AE1FDB">
      <w:pPr>
        <w:pStyle w:val="Heading2"/>
        <w:rPr>
          <w:noProof/>
        </w:rPr>
      </w:pPr>
      <w:r>
        <w:rPr>
          <w:noProof/>
        </w:rPr>
        <w:t xml:space="preserve">Common issues </w:t>
      </w:r>
    </w:p>
    <w:p w14:paraId="59053D12" w14:textId="3C1EDADD" w:rsidR="00F469C0" w:rsidRPr="00C95EAF" w:rsidRDefault="00F469C0" w:rsidP="00F469C0">
      <w:pPr>
        <w:rPr>
          <w:noProof/>
        </w:rPr>
      </w:pPr>
      <w:r w:rsidRPr="00C95EAF">
        <w:rPr>
          <w:noProof/>
        </w:rPr>
        <w:t>Within the context of the HES Framework</w:t>
      </w:r>
      <w:r w:rsidR="00D17090">
        <w:rPr>
          <w:noProof/>
        </w:rPr>
        <w:t>,</w:t>
      </w:r>
      <w:r w:rsidRPr="00C95EAF">
        <w:rPr>
          <w:noProof/>
        </w:rPr>
        <w:t xml:space="preserve"> TEQSA </w:t>
      </w:r>
      <w:r w:rsidR="00A05020">
        <w:rPr>
          <w:noProof/>
        </w:rPr>
        <w:t>has identified a range of common issues which are indicative of insufficient scholar</w:t>
      </w:r>
      <w:r w:rsidR="00727494">
        <w:rPr>
          <w:noProof/>
        </w:rPr>
        <w:t>s</w:t>
      </w:r>
      <w:r w:rsidR="00A05020">
        <w:rPr>
          <w:noProof/>
        </w:rPr>
        <w:t xml:space="preserve">hip. These include, but are not limited to: </w:t>
      </w:r>
    </w:p>
    <w:p w14:paraId="51B4B946" w14:textId="096D79D3" w:rsidR="00DD1115" w:rsidRDefault="00DD1115" w:rsidP="00F469C0">
      <w:pPr>
        <w:pStyle w:val="BulletsL2"/>
        <w:numPr>
          <w:ilvl w:val="0"/>
          <w:numId w:val="27"/>
        </w:numPr>
        <w:rPr>
          <w:noProof/>
          <w:lang w:val="en-AU"/>
        </w:rPr>
      </w:pPr>
      <w:r w:rsidRPr="00C95EAF">
        <w:rPr>
          <w:noProof/>
          <w:lang w:val="en-AU"/>
        </w:rPr>
        <w:t xml:space="preserve">personal or professional development activities </w:t>
      </w:r>
      <w:r>
        <w:rPr>
          <w:noProof/>
          <w:lang w:val="en-AU"/>
        </w:rPr>
        <w:t xml:space="preserve">that </w:t>
      </w:r>
      <w:r w:rsidRPr="00C95EAF">
        <w:rPr>
          <w:noProof/>
          <w:lang w:val="en-AU"/>
        </w:rPr>
        <w:t xml:space="preserve">constitute lower-level training </w:t>
      </w:r>
      <w:r>
        <w:rPr>
          <w:noProof/>
          <w:lang w:val="en-AU"/>
        </w:rPr>
        <w:t xml:space="preserve">or are unrelated </w:t>
      </w:r>
      <w:r w:rsidRPr="00C95EAF">
        <w:rPr>
          <w:noProof/>
          <w:lang w:val="en-AU"/>
        </w:rPr>
        <w:t xml:space="preserve">to the teaching role </w:t>
      </w:r>
      <w:r>
        <w:rPr>
          <w:noProof/>
          <w:lang w:val="en-AU"/>
        </w:rPr>
        <w:t>(</w:t>
      </w:r>
      <w:r w:rsidRPr="00C95EAF">
        <w:rPr>
          <w:noProof/>
          <w:lang w:val="en-AU"/>
        </w:rPr>
        <w:t>e.g.</w:t>
      </w:r>
      <w:r>
        <w:rPr>
          <w:noProof/>
          <w:lang w:val="en-AU"/>
        </w:rPr>
        <w:t xml:space="preserve"> </w:t>
      </w:r>
      <w:r w:rsidR="00634003">
        <w:rPr>
          <w:noProof/>
          <w:lang w:val="en-AU"/>
        </w:rPr>
        <w:t>underaking</w:t>
      </w:r>
      <w:r>
        <w:rPr>
          <w:noProof/>
          <w:lang w:val="en-AU"/>
        </w:rPr>
        <w:t xml:space="preserve"> a Moodle training session,</w:t>
      </w:r>
      <w:r w:rsidRPr="00C95EAF">
        <w:rPr>
          <w:noProof/>
          <w:lang w:val="en-AU"/>
        </w:rPr>
        <w:t xml:space="preserve"> </w:t>
      </w:r>
      <w:r w:rsidR="00634003">
        <w:rPr>
          <w:noProof/>
          <w:lang w:val="en-AU"/>
        </w:rPr>
        <w:t>attending a</w:t>
      </w:r>
      <w:r w:rsidR="00355B8D">
        <w:rPr>
          <w:noProof/>
          <w:lang w:val="en-AU"/>
        </w:rPr>
        <w:t>n Emotional Intelligence training</w:t>
      </w:r>
      <w:r w:rsidR="00634003">
        <w:rPr>
          <w:noProof/>
          <w:lang w:val="en-AU"/>
        </w:rPr>
        <w:t xml:space="preserve"> workshop, </w:t>
      </w:r>
      <w:r w:rsidRPr="00C95EAF">
        <w:rPr>
          <w:noProof/>
          <w:lang w:val="en-AU"/>
        </w:rPr>
        <w:t xml:space="preserve">learning </w:t>
      </w:r>
      <w:r>
        <w:rPr>
          <w:noProof/>
          <w:lang w:val="en-AU"/>
        </w:rPr>
        <w:t xml:space="preserve">unrelated </w:t>
      </w:r>
      <w:r w:rsidRPr="00C95EAF">
        <w:rPr>
          <w:noProof/>
          <w:lang w:val="en-AU"/>
        </w:rPr>
        <w:t>software</w:t>
      </w:r>
      <w:r w:rsidR="00B71DA1">
        <w:rPr>
          <w:noProof/>
          <w:lang w:val="en-AU"/>
        </w:rPr>
        <w:t>,</w:t>
      </w:r>
      <w:r w:rsidR="00355B8D" w:rsidRPr="00C95EAF">
        <w:rPr>
          <w:noProof/>
          <w:lang w:val="en-AU"/>
        </w:rPr>
        <w:t xml:space="preserve"> an unrelated research technique</w:t>
      </w:r>
      <w:r w:rsidR="00355B8D">
        <w:rPr>
          <w:noProof/>
          <w:lang w:val="en-AU"/>
        </w:rPr>
        <w:t xml:space="preserve"> or</w:t>
      </w:r>
      <w:r w:rsidR="00355B8D" w:rsidRPr="00C95EAF">
        <w:rPr>
          <w:noProof/>
          <w:lang w:val="en-AU"/>
        </w:rPr>
        <w:t xml:space="preserve"> taking a course in an unrelated field</w:t>
      </w:r>
      <w:r>
        <w:rPr>
          <w:noProof/>
          <w:lang w:val="en-AU"/>
        </w:rPr>
        <w:t>)</w:t>
      </w:r>
    </w:p>
    <w:p w14:paraId="768D44DF" w14:textId="15600B7B" w:rsidR="003E02F2" w:rsidRDefault="00002015" w:rsidP="00F469C0">
      <w:pPr>
        <w:pStyle w:val="BulletsL2"/>
        <w:numPr>
          <w:ilvl w:val="0"/>
          <w:numId w:val="27"/>
        </w:numPr>
        <w:rPr>
          <w:noProof/>
          <w:lang w:val="en-AU"/>
        </w:rPr>
      </w:pPr>
      <w:r>
        <w:rPr>
          <w:noProof/>
          <w:lang w:val="en-AU"/>
        </w:rPr>
        <w:t>m</w:t>
      </w:r>
      <w:r w:rsidR="003E02F2">
        <w:rPr>
          <w:noProof/>
          <w:lang w:val="en-AU"/>
        </w:rPr>
        <w:t>embership on one or more academic governance committees</w:t>
      </w:r>
    </w:p>
    <w:p w14:paraId="3904C9E9" w14:textId="0E0525F1" w:rsidR="00F469C0" w:rsidRPr="00C95EAF" w:rsidRDefault="00F469C0" w:rsidP="00F469C0">
      <w:pPr>
        <w:pStyle w:val="BulletsL2"/>
        <w:numPr>
          <w:ilvl w:val="0"/>
          <w:numId w:val="27"/>
        </w:numPr>
        <w:rPr>
          <w:noProof/>
          <w:lang w:val="en-AU"/>
        </w:rPr>
      </w:pPr>
      <w:r w:rsidRPr="00C95EAF">
        <w:rPr>
          <w:noProof/>
          <w:lang w:val="en-AU"/>
        </w:rPr>
        <w:t xml:space="preserve">dated </w:t>
      </w:r>
      <w:r w:rsidRPr="00C1502B">
        <w:rPr>
          <w:noProof/>
          <w:lang w:val="en-AU"/>
        </w:rPr>
        <w:t xml:space="preserve">or irrelevant </w:t>
      </w:r>
      <w:r w:rsidRPr="00C95EAF">
        <w:rPr>
          <w:noProof/>
          <w:lang w:val="en-AU"/>
        </w:rPr>
        <w:t xml:space="preserve">scholarly activity (e.g. content or methods that are no longer employed in the field) </w:t>
      </w:r>
    </w:p>
    <w:p w14:paraId="07C2B87B" w14:textId="639A204B" w:rsidR="00F469C0" w:rsidRPr="006E3AA7" w:rsidRDefault="00F469C0" w:rsidP="00F469C0">
      <w:pPr>
        <w:pStyle w:val="BulletsL2"/>
        <w:numPr>
          <w:ilvl w:val="0"/>
          <w:numId w:val="27"/>
        </w:numPr>
        <w:rPr>
          <w:noProof/>
          <w:lang w:val="en-AU"/>
        </w:rPr>
      </w:pPr>
      <w:r w:rsidRPr="003B1090">
        <w:rPr>
          <w:noProof/>
          <w:lang w:val="en-AU"/>
        </w:rPr>
        <w:t>unrelated</w:t>
      </w:r>
      <w:r w:rsidRPr="006E3AA7">
        <w:rPr>
          <w:noProof/>
          <w:lang w:val="en-AU"/>
        </w:rPr>
        <w:t xml:space="preserve"> </w:t>
      </w:r>
      <w:r w:rsidRPr="003B1090">
        <w:rPr>
          <w:noProof/>
          <w:lang w:val="en-AU"/>
        </w:rPr>
        <w:t xml:space="preserve">research in disciplines/fields being taught (e.g. </w:t>
      </w:r>
      <w:r w:rsidR="00513E63">
        <w:rPr>
          <w:noProof/>
          <w:lang w:val="en-AU"/>
        </w:rPr>
        <w:t xml:space="preserve">information systems </w:t>
      </w:r>
      <w:r w:rsidRPr="006E3AA7">
        <w:rPr>
          <w:noProof/>
          <w:lang w:val="en-AU"/>
        </w:rPr>
        <w:t xml:space="preserve">teacher conducting research in art history) </w:t>
      </w:r>
    </w:p>
    <w:p w14:paraId="542BE913" w14:textId="77777777" w:rsidR="00F469C0" w:rsidRPr="00C95EAF" w:rsidRDefault="00F469C0" w:rsidP="00F469C0">
      <w:pPr>
        <w:pStyle w:val="BulletsL2"/>
        <w:numPr>
          <w:ilvl w:val="0"/>
          <w:numId w:val="27"/>
        </w:numPr>
        <w:rPr>
          <w:noProof/>
          <w:lang w:val="en-AU"/>
        </w:rPr>
      </w:pPr>
      <w:r w:rsidRPr="00C1502B">
        <w:rPr>
          <w:noProof/>
          <w:lang w:val="en-AU"/>
        </w:rPr>
        <w:t>basic</w:t>
      </w:r>
      <w:r w:rsidRPr="002B4967">
        <w:rPr>
          <w:noProof/>
          <w:lang w:val="en-AU"/>
        </w:rPr>
        <w:t xml:space="preserve"> </w:t>
      </w:r>
      <w:r w:rsidRPr="00C95EAF">
        <w:rPr>
          <w:noProof/>
          <w:lang w:val="en-AU"/>
        </w:rPr>
        <w:t xml:space="preserve">practice or routine </w:t>
      </w:r>
      <w:r>
        <w:rPr>
          <w:noProof/>
          <w:lang w:val="en-AU"/>
        </w:rPr>
        <w:t>that</w:t>
      </w:r>
      <w:r w:rsidRPr="00C95EAF">
        <w:rPr>
          <w:noProof/>
          <w:lang w:val="en-AU"/>
        </w:rPr>
        <w:t xml:space="preserve"> does not engage with advances in practice, or is unrelated to the discipline/field (e.g. an accountant </w:t>
      </w:r>
      <w:r>
        <w:rPr>
          <w:noProof/>
          <w:lang w:val="en-AU"/>
        </w:rPr>
        <w:t xml:space="preserve">preparing </w:t>
      </w:r>
      <w:r w:rsidRPr="00C1502B">
        <w:rPr>
          <w:noProof/>
          <w:lang w:val="en-AU"/>
        </w:rPr>
        <w:t>personal tax returns for individuals</w:t>
      </w:r>
      <w:r w:rsidRPr="00C95EAF">
        <w:rPr>
          <w:noProof/>
          <w:lang w:val="en-AU"/>
        </w:rPr>
        <w:t xml:space="preserve"> while teaching corporate finance</w:t>
      </w:r>
      <w:r>
        <w:rPr>
          <w:noProof/>
          <w:lang w:val="en-AU"/>
        </w:rPr>
        <w:t xml:space="preserve"> </w:t>
      </w:r>
      <w:r w:rsidRPr="00C95EAF">
        <w:rPr>
          <w:noProof/>
          <w:lang w:val="en-AU"/>
        </w:rPr>
        <w:t>or training in software use)</w:t>
      </w:r>
    </w:p>
    <w:p w14:paraId="3399660E" w14:textId="28FB96B2" w:rsidR="00F469C0" w:rsidRPr="00C95EAF" w:rsidRDefault="00F469C0" w:rsidP="00F469C0">
      <w:pPr>
        <w:pStyle w:val="BulletsL2"/>
        <w:numPr>
          <w:ilvl w:val="0"/>
          <w:numId w:val="27"/>
        </w:numPr>
        <w:rPr>
          <w:noProof/>
          <w:lang w:val="en-AU"/>
        </w:rPr>
      </w:pPr>
      <w:r w:rsidRPr="00C95EAF">
        <w:rPr>
          <w:noProof/>
          <w:lang w:val="en-AU"/>
        </w:rPr>
        <w:t>involvement in</w:t>
      </w:r>
      <w:r>
        <w:rPr>
          <w:noProof/>
          <w:lang w:val="en-AU"/>
        </w:rPr>
        <w:t xml:space="preserve"> p</w:t>
      </w:r>
      <w:r w:rsidRPr="00C95EAF">
        <w:rPr>
          <w:noProof/>
          <w:lang w:val="en-AU"/>
        </w:rPr>
        <w:t xml:space="preserve">rofessional/community groups or activities </w:t>
      </w:r>
      <w:r w:rsidR="00D17090">
        <w:rPr>
          <w:noProof/>
          <w:lang w:val="en-AU"/>
        </w:rPr>
        <w:t xml:space="preserve">unrelated </w:t>
      </w:r>
      <w:r w:rsidRPr="00C95EAF">
        <w:rPr>
          <w:noProof/>
          <w:lang w:val="en-AU"/>
        </w:rPr>
        <w:t xml:space="preserve">to the content or teaching methods </w:t>
      </w:r>
      <w:r>
        <w:rPr>
          <w:noProof/>
          <w:lang w:val="en-AU"/>
        </w:rPr>
        <w:t>of</w:t>
      </w:r>
      <w:r w:rsidRPr="00C95EAF">
        <w:rPr>
          <w:noProof/>
          <w:lang w:val="en-AU"/>
        </w:rPr>
        <w:t xml:space="preserve"> the discipline/field being taught</w:t>
      </w:r>
      <w:r>
        <w:rPr>
          <w:noProof/>
          <w:lang w:val="en-AU"/>
        </w:rPr>
        <w:t xml:space="preserve"> </w:t>
      </w:r>
      <w:r w:rsidRPr="00BF312D">
        <w:rPr>
          <w:noProof/>
          <w:lang w:val="en-AU"/>
        </w:rPr>
        <w:t xml:space="preserve">(e.g. </w:t>
      </w:r>
      <w:r w:rsidR="00513E63">
        <w:rPr>
          <w:noProof/>
          <w:lang w:val="en-AU"/>
        </w:rPr>
        <w:t xml:space="preserve">an engineering </w:t>
      </w:r>
      <w:r w:rsidR="00244814">
        <w:rPr>
          <w:noProof/>
          <w:lang w:val="en-AU"/>
        </w:rPr>
        <w:t xml:space="preserve">lecturer </w:t>
      </w:r>
      <w:r>
        <w:rPr>
          <w:noProof/>
          <w:lang w:val="en-AU"/>
        </w:rPr>
        <w:t>attending a literary discussion group</w:t>
      </w:r>
      <w:r w:rsidRPr="00BF312D">
        <w:rPr>
          <w:noProof/>
          <w:lang w:val="en-AU"/>
        </w:rPr>
        <w:t>)</w:t>
      </w:r>
    </w:p>
    <w:p w14:paraId="1EECECFF" w14:textId="355EB4C0" w:rsidR="00F469C0" w:rsidRDefault="00F469C0" w:rsidP="00F469C0">
      <w:pPr>
        <w:pStyle w:val="BulletsL2"/>
        <w:numPr>
          <w:ilvl w:val="0"/>
          <w:numId w:val="27"/>
        </w:numPr>
        <w:rPr>
          <w:noProof/>
          <w:lang w:val="en-AU"/>
        </w:rPr>
      </w:pPr>
      <w:r w:rsidRPr="00C95EAF">
        <w:rPr>
          <w:noProof/>
          <w:lang w:val="en-AU"/>
        </w:rPr>
        <w:t>similar activities at a lower level (e.g. teaching in a related field at a lower level)</w:t>
      </w:r>
    </w:p>
    <w:p w14:paraId="024CB82D" w14:textId="4DD4111E" w:rsidR="00F469C0" w:rsidRPr="00DD1115" w:rsidRDefault="00A05020">
      <w:pPr>
        <w:pStyle w:val="BulletsL2"/>
        <w:numPr>
          <w:ilvl w:val="0"/>
          <w:numId w:val="27"/>
        </w:numPr>
        <w:spacing w:after="360"/>
        <w:rPr>
          <w:noProof/>
          <w:lang w:val="en-AU"/>
        </w:rPr>
      </w:pPr>
      <w:r w:rsidRPr="00DD1115">
        <w:rPr>
          <w:noProof/>
        </w:rPr>
        <w:t xml:space="preserve">attendance at conferences or membership </w:t>
      </w:r>
      <w:r w:rsidR="009F5D9A" w:rsidRPr="00DD1115">
        <w:rPr>
          <w:noProof/>
        </w:rPr>
        <w:t xml:space="preserve">of </w:t>
      </w:r>
      <w:r w:rsidRPr="00DD1115">
        <w:rPr>
          <w:noProof/>
        </w:rPr>
        <w:t>a profesional body</w:t>
      </w:r>
      <w:r w:rsidR="00DD1115" w:rsidRPr="00DD1115">
        <w:rPr>
          <w:noProof/>
        </w:rPr>
        <w:t>.</w:t>
      </w:r>
      <w:r w:rsidRPr="00DD1115">
        <w:rPr>
          <w:noProof/>
        </w:rPr>
        <w:t xml:space="preserve">  </w:t>
      </w:r>
    </w:p>
    <w:p w14:paraId="557B4654" w14:textId="27AFE830" w:rsidR="00EF4D66" w:rsidRDefault="00EF4D66" w:rsidP="00AE1FDB">
      <w:pPr>
        <w:pStyle w:val="BulletsL2"/>
        <w:numPr>
          <w:ilvl w:val="0"/>
          <w:numId w:val="0"/>
        </w:numPr>
        <w:rPr>
          <w:noProof/>
          <w:lang w:val="en-AU"/>
        </w:rPr>
      </w:pPr>
      <w:r>
        <w:rPr>
          <w:noProof/>
          <w:lang w:val="en-AU"/>
        </w:rPr>
        <w:t xml:space="preserve">TEQSA recognises that scholarship </w:t>
      </w:r>
      <w:r w:rsidR="00E93A2B">
        <w:rPr>
          <w:noProof/>
          <w:lang w:val="en-AU"/>
        </w:rPr>
        <w:t xml:space="preserve">can occur </w:t>
      </w:r>
      <w:r>
        <w:rPr>
          <w:noProof/>
          <w:lang w:val="en-AU"/>
        </w:rPr>
        <w:t xml:space="preserve">across disciplines in unrelated fields that inform and contribute to advances in knowledge and professional practice (e.g. a collaborative research project between arts and science on the impact of climate change). </w:t>
      </w:r>
      <w:r w:rsidR="00A05020">
        <w:rPr>
          <w:noProof/>
          <w:lang w:val="en-AU"/>
        </w:rPr>
        <w:t xml:space="preserve">TEQSA acknowledges the benefits and value of multi-disciplinary scholarship. </w:t>
      </w:r>
    </w:p>
    <w:p w14:paraId="7545DB21" w14:textId="4656E269" w:rsidR="00EF4D66" w:rsidRPr="00C95EAF" w:rsidRDefault="00EF4D66" w:rsidP="00AE1FDB">
      <w:pPr>
        <w:pStyle w:val="BulletsL2"/>
        <w:numPr>
          <w:ilvl w:val="0"/>
          <w:numId w:val="0"/>
        </w:numPr>
        <w:rPr>
          <w:noProof/>
          <w:lang w:val="en-AU"/>
        </w:rPr>
      </w:pPr>
      <w:r>
        <w:rPr>
          <w:noProof/>
          <w:lang w:val="en-AU"/>
        </w:rPr>
        <w:t xml:space="preserve">However, it </w:t>
      </w:r>
      <w:r w:rsidR="00244814">
        <w:rPr>
          <w:noProof/>
          <w:lang w:val="en-AU"/>
        </w:rPr>
        <w:t>will be necessary</w:t>
      </w:r>
      <w:r>
        <w:rPr>
          <w:noProof/>
          <w:lang w:val="en-AU"/>
        </w:rPr>
        <w:t xml:space="preserve"> </w:t>
      </w:r>
      <w:r w:rsidR="00E93A2B">
        <w:rPr>
          <w:noProof/>
          <w:lang w:val="en-AU"/>
        </w:rPr>
        <w:t xml:space="preserve">for a provider to </w:t>
      </w:r>
      <w:r>
        <w:rPr>
          <w:noProof/>
          <w:lang w:val="en-AU"/>
        </w:rPr>
        <w:t xml:space="preserve">demonstrate the link between </w:t>
      </w:r>
      <w:r w:rsidR="00A05020">
        <w:rPr>
          <w:noProof/>
          <w:lang w:val="en-AU"/>
        </w:rPr>
        <w:t>scholar</w:t>
      </w:r>
      <w:r w:rsidR="00D571D4">
        <w:rPr>
          <w:noProof/>
          <w:lang w:val="en-AU"/>
        </w:rPr>
        <w:t>s</w:t>
      </w:r>
      <w:r w:rsidR="00A05020">
        <w:rPr>
          <w:noProof/>
          <w:lang w:val="en-AU"/>
        </w:rPr>
        <w:t xml:space="preserve">hip </w:t>
      </w:r>
      <w:r>
        <w:rPr>
          <w:noProof/>
          <w:lang w:val="en-AU"/>
        </w:rPr>
        <w:t xml:space="preserve">in an unrelated field/discipline and the scholarship informing teaching practice in the subject being taught (e.g. a </w:t>
      </w:r>
      <w:r w:rsidR="00D571D4">
        <w:rPr>
          <w:noProof/>
          <w:lang w:val="en-AU"/>
        </w:rPr>
        <w:t>teacher</w:t>
      </w:r>
      <w:r>
        <w:rPr>
          <w:noProof/>
          <w:lang w:val="en-AU"/>
        </w:rPr>
        <w:t xml:space="preserve"> demonstrating the relevance of art history research to the teaching and learning outcomes of a finance management course).</w:t>
      </w:r>
    </w:p>
    <w:p w14:paraId="3102DA3E" w14:textId="77777777" w:rsidR="00EF4D66" w:rsidRDefault="00EF4D66" w:rsidP="00AE1FDB">
      <w:pPr>
        <w:pStyle w:val="BulletsL2"/>
        <w:numPr>
          <w:ilvl w:val="0"/>
          <w:numId w:val="0"/>
        </w:numPr>
        <w:rPr>
          <w:noProof/>
          <w:lang w:val="en-AU"/>
        </w:rPr>
      </w:pPr>
    </w:p>
    <w:p w14:paraId="1179FFBC" w14:textId="77777777" w:rsidR="00E14487" w:rsidRDefault="00E14487">
      <w:pPr>
        <w:rPr>
          <w:rFonts w:asciiTheme="majorHAnsi" w:eastAsiaTheme="majorEastAsia" w:hAnsiTheme="majorHAnsi" w:cstheme="majorBidi"/>
          <w:noProof/>
          <w:color w:val="00A398"/>
          <w:sz w:val="44"/>
          <w:szCs w:val="26"/>
        </w:rPr>
      </w:pPr>
      <w:r>
        <w:rPr>
          <w:noProof/>
        </w:rPr>
        <w:br w:type="page"/>
      </w:r>
    </w:p>
    <w:p w14:paraId="5EDA2D79" w14:textId="4A8A1208" w:rsidR="00F17802" w:rsidRDefault="00C41185">
      <w:pPr>
        <w:rPr>
          <w:rFonts w:ascii="Arial" w:hAnsi="Arial" w:cs="Arial"/>
          <w:i/>
          <w:noProof/>
          <w:color w:val="252B2B"/>
        </w:rPr>
      </w:pPr>
      <w:r w:rsidRPr="00C95EAF">
        <w:rPr>
          <w:rFonts w:ascii="Arial" w:hAnsi="Arial" w:cs="Arial"/>
          <w:i/>
          <w:noProof/>
          <w:color w:val="252B2B"/>
        </w:rPr>
        <w:lastRenderedPageBreak/>
        <w:t>TEQSA welcomes the diversity of educational delivery across the sector and acknowledges that its Guidance Notes may not encompass all of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p>
    <w:p w14:paraId="2DE28CEE" w14:textId="77777777" w:rsidR="00F14CCE" w:rsidRPr="00F14CCE" w:rsidRDefault="00F14CCE">
      <w:pPr>
        <w:rPr>
          <w:iCs/>
        </w:rPr>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B759C1" w:rsidRPr="000F117B" w14:paraId="2C4C8AAF" w14:textId="77777777" w:rsidTr="0066741F">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5BFF7383" w14:textId="64384C76" w:rsidR="00B759C1" w:rsidRPr="00C95EAF" w:rsidRDefault="00B759C1" w:rsidP="009F5D9A">
            <w:pPr>
              <w:pStyle w:val="Normal1"/>
              <w:spacing w:line="240" w:lineRule="auto"/>
              <w:rPr>
                <w:b/>
                <w:noProof/>
                <w:color w:val="E7E6E6" w:themeColor="background2"/>
                <w:sz w:val="20"/>
                <w:szCs w:val="20"/>
              </w:rPr>
            </w:pPr>
            <w:r w:rsidRPr="00C95EAF">
              <w:rPr>
                <w:b/>
                <w:noProof/>
                <w:color w:val="E7E6E6" w:themeColor="background2"/>
                <w:sz w:val="20"/>
                <w:szCs w:val="20"/>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71FF51F0" w14:textId="77777777" w:rsidR="00B759C1" w:rsidRPr="00C95EAF" w:rsidRDefault="00B759C1" w:rsidP="009F5D9A">
            <w:pPr>
              <w:pStyle w:val="Normal1"/>
              <w:spacing w:line="240" w:lineRule="auto"/>
              <w:rPr>
                <w:b/>
                <w:noProof/>
                <w:color w:val="E7E6E6" w:themeColor="background2"/>
                <w:sz w:val="20"/>
                <w:szCs w:val="20"/>
              </w:rPr>
            </w:pPr>
            <w:r w:rsidRPr="00C95EAF">
              <w:rPr>
                <w:b/>
                <w:noProof/>
                <w:color w:val="E7E6E6" w:themeColor="background2"/>
                <w:sz w:val="20"/>
                <w:szCs w:val="20"/>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6AF74CDC" w14:textId="77777777" w:rsidR="00B759C1" w:rsidRPr="00C95EAF" w:rsidRDefault="00B759C1" w:rsidP="009F5D9A">
            <w:pPr>
              <w:pStyle w:val="Normal1"/>
              <w:spacing w:line="240" w:lineRule="auto"/>
              <w:rPr>
                <w:b/>
                <w:noProof/>
                <w:color w:val="E7E6E6" w:themeColor="background2"/>
                <w:sz w:val="20"/>
                <w:szCs w:val="20"/>
              </w:rPr>
            </w:pPr>
            <w:r w:rsidRPr="00C95EAF">
              <w:rPr>
                <w:b/>
                <w:noProof/>
                <w:color w:val="E7E6E6" w:themeColor="background2"/>
                <w:sz w:val="20"/>
                <w:szCs w:val="20"/>
              </w:rPr>
              <w:t>Key changes</w:t>
            </w:r>
          </w:p>
        </w:tc>
      </w:tr>
      <w:tr w:rsidR="00B759C1" w:rsidRPr="000F117B" w14:paraId="6E946C88" w14:textId="77777777" w:rsidTr="009F5D9A">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F7131AC" w14:textId="77777777" w:rsidR="00B759C1" w:rsidRPr="00C95EAF" w:rsidRDefault="00B759C1" w:rsidP="009F5D9A">
            <w:pPr>
              <w:pStyle w:val="Normal1"/>
              <w:spacing w:line="240" w:lineRule="auto"/>
              <w:rPr>
                <w:noProof/>
                <w:sz w:val="20"/>
                <w:szCs w:val="20"/>
              </w:rPr>
            </w:pPr>
            <w:r w:rsidRPr="00C95EAF">
              <w:rPr>
                <w:noProof/>
                <w:sz w:val="20"/>
                <w:szCs w:val="20"/>
              </w:rPr>
              <w:t>1.0</w:t>
            </w:r>
          </w:p>
        </w:tc>
        <w:tc>
          <w:tcPr>
            <w:tcW w:w="2126" w:type="dxa"/>
            <w:tcBorders>
              <w:top w:val="nil"/>
              <w:left w:val="nil"/>
              <w:bottom w:val="single" w:sz="4" w:space="0" w:color="auto"/>
              <w:right w:val="single" w:sz="8" w:space="0" w:color="000000"/>
            </w:tcBorders>
            <w:tcMar>
              <w:top w:w="100" w:type="dxa"/>
              <w:left w:w="100" w:type="dxa"/>
              <w:bottom w:w="100" w:type="dxa"/>
              <w:right w:w="100" w:type="dxa"/>
            </w:tcMar>
          </w:tcPr>
          <w:p w14:paraId="048B3BA6" w14:textId="77777777" w:rsidR="00B759C1" w:rsidRPr="00C95EAF" w:rsidRDefault="00B759C1" w:rsidP="009F5D9A">
            <w:pPr>
              <w:pStyle w:val="Normal1"/>
              <w:spacing w:line="240" w:lineRule="auto"/>
              <w:rPr>
                <w:noProof/>
                <w:sz w:val="20"/>
                <w:szCs w:val="20"/>
              </w:rPr>
            </w:pPr>
            <w:r w:rsidRPr="00C95EAF">
              <w:rPr>
                <w:noProof/>
                <w:sz w:val="20"/>
                <w:szCs w:val="20"/>
              </w:rPr>
              <w:t>26 May 2014</w:t>
            </w: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14:paraId="6C7C1091" w14:textId="77777777" w:rsidR="00B759C1" w:rsidRPr="00C95EAF" w:rsidRDefault="00B759C1" w:rsidP="009F5D9A">
            <w:pPr>
              <w:pStyle w:val="Normal1"/>
              <w:spacing w:line="240" w:lineRule="auto"/>
              <w:rPr>
                <w:noProof/>
                <w:sz w:val="20"/>
                <w:szCs w:val="20"/>
              </w:rPr>
            </w:pPr>
          </w:p>
        </w:tc>
      </w:tr>
      <w:tr w:rsidR="00B759C1" w:rsidRPr="000F117B" w14:paraId="0884893F"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F147FF0" w14:textId="77777777" w:rsidR="00B759C1" w:rsidRPr="00C95EAF" w:rsidRDefault="00B759C1" w:rsidP="009F5D9A">
            <w:pPr>
              <w:pStyle w:val="Normal1"/>
              <w:spacing w:line="240" w:lineRule="auto"/>
              <w:rPr>
                <w:noProof/>
                <w:sz w:val="20"/>
                <w:szCs w:val="20"/>
              </w:rPr>
            </w:pPr>
            <w:r w:rsidRPr="00C95EAF">
              <w:rPr>
                <w:noProof/>
                <w:sz w:val="20"/>
                <w:szCs w:val="20"/>
              </w:rPr>
              <w:t>2.0</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07CEEA1" w14:textId="77777777" w:rsidR="00B759C1" w:rsidRPr="00C95EAF" w:rsidRDefault="00B759C1" w:rsidP="009F5D9A">
            <w:pPr>
              <w:pStyle w:val="Normal1"/>
              <w:spacing w:line="240" w:lineRule="auto"/>
              <w:rPr>
                <w:noProof/>
                <w:sz w:val="20"/>
                <w:szCs w:val="20"/>
                <w:highlight w:val="yellow"/>
              </w:rPr>
            </w:pPr>
            <w:r w:rsidRPr="00C95EAF">
              <w:rPr>
                <w:noProof/>
                <w:sz w:val="20"/>
                <w:szCs w:val="20"/>
              </w:rPr>
              <w:t>19 August 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3DB8B87" w14:textId="77777777" w:rsidR="00B759C1" w:rsidRPr="00C95EAF" w:rsidRDefault="00B759C1" w:rsidP="009F5D9A">
            <w:pPr>
              <w:pStyle w:val="Normal1"/>
              <w:spacing w:line="240" w:lineRule="auto"/>
              <w:rPr>
                <w:noProof/>
                <w:sz w:val="20"/>
                <w:szCs w:val="20"/>
              </w:rPr>
            </w:pPr>
            <w:r w:rsidRPr="00C95EAF">
              <w:rPr>
                <w:noProof/>
                <w:sz w:val="20"/>
                <w:szCs w:val="20"/>
              </w:rPr>
              <w:t>Updated for the HESF 2015 and made available as beta version for consultation.</w:t>
            </w:r>
          </w:p>
        </w:tc>
      </w:tr>
      <w:tr w:rsidR="00B759C1" w:rsidRPr="000F117B" w14:paraId="5C1981F5"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F91E923" w14:textId="77777777" w:rsidR="00B759C1" w:rsidRPr="00C95EAF" w:rsidRDefault="00B759C1" w:rsidP="009F5D9A">
            <w:pPr>
              <w:pStyle w:val="Normal1"/>
              <w:spacing w:line="240" w:lineRule="auto"/>
              <w:rPr>
                <w:noProof/>
                <w:sz w:val="20"/>
                <w:szCs w:val="20"/>
              </w:rPr>
            </w:pPr>
            <w:r w:rsidRPr="00C95EAF">
              <w:rPr>
                <w:noProof/>
                <w:sz w:val="20"/>
                <w:szCs w:val="20"/>
              </w:rPr>
              <w:t>2.1</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BA9C6D7" w14:textId="77777777" w:rsidR="00B759C1" w:rsidRPr="00C95EAF" w:rsidRDefault="00B759C1" w:rsidP="009F5D9A">
            <w:pPr>
              <w:pStyle w:val="Normal1"/>
              <w:spacing w:line="240" w:lineRule="auto"/>
              <w:rPr>
                <w:noProof/>
                <w:sz w:val="20"/>
                <w:szCs w:val="20"/>
              </w:rPr>
            </w:pPr>
            <w:r w:rsidRPr="00C95EAF">
              <w:rPr>
                <w:noProof/>
                <w:sz w:val="20"/>
                <w:szCs w:val="20"/>
              </w:rPr>
              <w:t>20 October 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B3E3239" w14:textId="77777777" w:rsidR="00B759C1" w:rsidRPr="00C95EAF" w:rsidRDefault="00B759C1" w:rsidP="009F5D9A">
            <w:pPr>
              <w:pStyle w:val="Normal1"/>
              <w:spacing w:line="240" w:lineRule="auto"/>
              <w:rPr>
                <w:noProof/>
                <w:sz w:val="20"/>
                <w:szCs w:val="20"/>
              </w:rPr>
            </w:pPr>
            <w:r w:rsidRPr="00C95EAF">
              <w:rPr>
                <w:noProof/>
                <w:sz w:val="20"/>
                <w:szCs w:val="20"/>
              </w:rPr>
              <w:t>Additional resource added.</w:t>
            </w:r>
          </w:p>
        </w:tc>
      </w:tr>
      <w:tr w:rsidR="00B759C1" w:rsidRPr="000F117B" w14:paraId="777EAD00"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99B7842" w14:textId="77777777" w:rsidR="00B759C1" w:rsidRPr="00C95EAF" w:rsidRDefault="00B759C1" w:rsidP="009F5D9A">
            <w:pPr>
              <w:pStyle w:val="Normal1"/>
              <w:spacing w:line="240" w:lineRule="auto"/>
              <w:rPr>
                <w:noProof/>
                <w:sz w:val="20"/>
                <w:szCs w:val="20"/>
              </w:rPr>
            </w:pPr>
            <w:r w:rsidRPr="00C95EAF">
              <w:rPr>
                <w:noProof/>
                <w:sz w:val="20"/>
                <w:szCs w:val="20"/>
              </w:rPr>
              <w:t>2.2</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C61572A" w14:textId="77777777" w:rsidR="00B759C1" w:rsidRPr="00C95EAF" w:rsidRDefault="00B759C1" w:rsidP="009F5D9A">
            <w:pPr>
              <w:pStyle w:val="Normal1"/>
              <w:spacing w:line="240" w:lineRule="auto"/>
              <w:rPr>
                <w:noProof/>
                <w:sz w:val="20"/>
                <w:szCs w:val="20"/>
              </w:rPr>
            </w:pPr>
            <w:r w:rsidRPr="00C95EAF">
              <w:rPr>
                <w:noProof/>
                <w:sz w:val="20"/>
                <w:szCs w:val="20"/>
              </w:rPr>
              <w:t>13 December 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D59C244" w14:textId="77777777" w:rsidR="00B759C1" w:rsidRPr="00C95EAF" w:rsidRDefault="00B759C1" w:rsidP="009F5D9A">
            <w:pPr>
              <w:pStyle w:val="Normal1"/>
              <w:spacing w:line="240" w:lineRule="auto"/>
              <w:rPr>
                <w:noProof/>
                <w:sz w:val="20"/>
                <w:szCs w:val="20"/>
              </w:rPr>
            </w:pPr>
            <w:r w:rsidRPr="00C95EAF">
              <w:rPr>
                <w:noProof/>
                <w:sz w:val="20"/>
                <w:szCs w:val="20"/>
              </w:rPr>
              <w:t>Paragraph added relating to creative activity and scholarship.</w:t>
            </w:r>
          </w:p>
        </w:tc>
      </w:tr>
      <w:tr w:rsidR="00B759C1" w:rsidRPr="000F117B" w14:paraId="61AB7687"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1BFD468" w14:textId="77777777" w:rsidR="00B759C1" w:rsidRPr="00C95EAF" w:rsidRDefault="00B759C1" w:rsidP="009F5D9A">
            <w:pPr>
              <w:pStyle w:val="Normal1"/>
              <w:spacing w:line="240" w:lineRule="auto"/>
              <w:rPr>
                <w:noProof/>
                <w:sz w:val="20"/>
                <w:szCs w:val="20"/>
              </w:rPr>
            </w:pPr>
            <w:r w:rsidRPr="00C95EAF">
              <w:rPr>
                <w:noProof/>
                <w:sz w:val="20"/>
                <w:szCs w:val="20"/>
              </w:rPr>
              <w:t>2.3</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474479EA" w14:textId="77777777" w:rsidR="00B759C1" w:rsidRPr="00C95EAF" w:rsidRDefault="00B759C1" w:rsidP="009F5D9A">
            <w:pPr>
              <w:pStyle w:val="Normal1"/>
              <w:spacing w:line="240" w:lineRule="auto"/>
              <w:rPr>
                <w:noProof/>
                <w:sz w:val="20"/>
                <w:szCs w:val="20"/>
              </w:rPr>
            </w:pPr>
            <w:r w:rsidRPr="00C95EAF">
              <w:rPr>
                <w:noProof/>
                <w:sz w:val="20"/>
                <w:szCs w:val="20"/>
              </w:rPr>
              <w:t>4 September 2017</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905E192" w14:textId="77777777" w:rsidR="00B759C1" w:rsidRPr="00C95EAF" w:rsidRDefault="00B759C1" w:rsidP="009F5D9A">
            <w:pPr>
              <w:pStyle w:val="Normal1"/>
              <w:spacing w:line="240" w:lineRule="auto"/>
              <w:rPr>
                <w:noProof/>
                <w:sz w:val="20"/>
                <w:szCs w:val="20"/>
              </w:rPr>
            </w:pPr>
            <w:r w:rsidRPr="00C95EAF">
              <w:rPr>
                <w:noProof/>
                <w:sz w:val="20"/>
                <w:szCs w:val="20"/>
              </w:rPr>
              <w:t>Clarification to differentiate and define ‘scholarship’ and ‘scholarly activity’.</w:t>
            </w:r>
          </w:p>
        </w:tc>
      </w:tr>
      <w:tr w:rsidR="006D3402" w:rsidRPr="000F117B" w14:paraId="67DD8FBF"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9EF06BE" w14:textId="77777777" w:rsidR="006D3402" w:rsidRPr="00C95EAF" w:rsidRDefault="006D3402" w:rsidP="009F5D9A">
            <w:pPr>
              <w:pStyle w:val="Normal1"/>
              <w:spacing w:line="240" w:lineRule="auto"/>
              <w:rPr>
                <w:noProof/>
                <w:sz w:val="20"/>
                <w:szCs w:val="20"/>
              </w:rPr>
            </w:pPr>
            <w:r w:rsidRPr="00C95EAF">
              <w:rPr>
                <w:noProof/>
                <w:sz w:val="20"/>
                <w:szCs w:val="20"/>
              </w:rPr>
              <w:t>2.4</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1E25781" w14:textId="77777777" w:rsidR="006D3402" w:rsidRPr="00C95EAF" w:rsidRDefault="006D3402" w:rsidP="009F5D9A">
            <w:pPr>
              <w:pStyle w:val="Normal1"/>
              <w:spacing w:line="240" w:lineRule="auto"/>
              <w:rPr>
                <w:noProof/>
                <w:sz w:val="20"/>
                <w:szCs w:val="20"/>
              </w:rPr>
            </w:pPr>
            <w:r w:rsidRPr="00C95EAF">
              <w:rPr>
                <w:noProof/>
                <w:sz w:val="20"/>
                <w:szCs w:val="20"/>
              </w:rPr>
              <w:t>4 December 2018</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343B758" w14:textId="77777777" w:rsidR="006D3402" w:rsidRPr="00C95EAF" w:rsidRDefault="006D3402" w:rsidP="004A076E">
            <w:pPr>
              <w:pStyle w:val="Normal1"/>
              <w:spacing w:line="240" w:lineRule="auto"/>
              <w:rPr>
                <w:noProof/>
                <w:sz w:val="20"/>
                <w:szCs w:val="20"/>
              </w:rPr>
            </w:pPr>
            <w:r w:rsidRPr="00C95EAF">
              <w:rPr>
                <w:noProof/>
                <w:sz w:val="20"/>
                <w:szCs w:val="20"/>
              </w:rPr>
              <w:t xml:space="preserve">Amendment to </w:t>
            </w:r>
            <w:r w:rsidR="004A076E" w:rsidRPr="00C95EAF">
              <w:rPr>
                <w:noProof/>
                <w:sz w:val="20"/>
                <w:szCs w:val="20"/>
              </w:rPr>
              <w:t>the end of the section on</w:t>
            </w:r>
            <w:r w:rsidRPr="00C95EAF">
              <w:rPr>
                <w:noProof/>
                <w:sz w:val="20"/>
                <w:szCs w:val="20"/>
              </w:rPr>
              <w:t xml:space="preserve"> ‘What does scholarship encompass?’</w:t>
            </w:r>
            <w:r w:rsidR="004A076E" w:rsidRPr="00C95EAF">
              <w:rPr>
                <w:noProof/>
                <w:sz w:val="20"/>
                <w:szCs w:val="20"/>
              </w:rPr>
              <w:t xml:space="preserve"> in relation to the Boyer Model of Scholarship</w:t>
            </w:r>
            <w:r w:rsidRPr="00C95EAF">
              <w:rPr>
                <w:noProof/>
                <w:sz w:val="20"/>
                <w:szCs w:val="20"/>
              </w:rPr>
              <w:t xml:space="preserve">. </w:t>
            </w:r>
          </w:p>
        </w:tc>
      </w:tr>
      <w:tr w:rsidR="00541321" w:rsidRPr="000F117B" w14:paraId="3DB7D8B8"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9E077FD" w14:textId="77777777" w:rsidR="00541321" w:rsidRPr="00C95EAF" w:rsidRDefault="00541321" w:rsidP="009F5D9A">
            <w:pPr>
              <w:pStyle w:val="Normal1"/>
              <w:spacing w:line="240" w:lineRule="auto"/>
              <w:rPr>
                <w:noProof/>
                <w:sz w:val="20"/>
                <w:szCs w:val="20"/>
              </w:rPr>
            </w:pPr>
            <w:r w:rsidRPr="00C95EAF">
              <w:rPr>
                <w:noProof/>
                <w:sz w:val="20"/>
                <w:szCs w:val="20"/>
              </w:rPr>
              <w:t>2.5</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3680A6F" w14:textId="77777777" w:rsidR="00541321" w:rsidRPr="00C95EAF" w:rsidRDefault="00541321" w:rsidP="009F5D9A">
            <w:pPr>
              <w:pStyle w:val="Normal1"/>
              <w:spacing w:line="240" w:lineRule="auto"/>
              <w:rPr>
                <w:noProof/>
                <w:sz w:val="20"/>
                <w:szCs w:val="20"/>
              </w:rPr>
            </w:pPr>
            <w:r w:rsidRPr="00C95EAF">
              <w:rPr>
                <w:noProof/>
                <w:sz w:val="20"/>
                <w:szCs w:val="20"/>
              </w:rPr>
              <w:t>12 December 2018</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965493E" w14:textId="77777777" w:rsidR="00541321" w:rsidRPr="00C95EAF" w:rsidRDefault="00541321" w:rsidP="00541321">
            <w:pPr>
              <w:pStyle w:val="Normal1"/>
              <w:spacing w:line="240" w:lineRule="auto"/>
              <w:rPr>
                <w:noProof/>
                <w:sz w:val="20"/>
                <w:szCs w:val="20"/>
              </w:rPr>
            </w:pPr>
            <w:r w:rsidRPr="00C95EAF">
              <w:rPr>
                <w:noProof/>
                <w:sz w:val="20"/>
                <w:szCs w:val="20"/>
              </w:rPr>
              <w:t>Minor clarification added to</w:t>
            </w:r>
            <w:r w:rsidR="00A158E8" w:rsidRPr="00C95EAF">
              <w:rPr>
                <w:noProof/>
                <w:sz w:val="20"/>
                <w:szCs w:val="20"/>
              </w:rPr>
              <w:t xml:space="preserve"> </w:t>
            </w:r>
            <w:r w:rsidR="00962BC8" w:rsidRPr="00C95EAF">
              <w:rPr>
                <w:noProof/>
                <w:sz w:val="20"/>
                <w:szCs w:val="20"/>
              </w:rPr>
              <w:t xml:space="preserve">the </w:t>
            </w:r>
            <w:r w:rsidR="00A158E8" w:rsidRPr="00C95EAF">
              <w:rPr>
                <w:noProof/>
                <w:sz w:val="20"/>
                <w:szCs w:val="20"/>
              </w:rPr>
              <w:t>section on</w:t>
            </w:r>
            <w:r w:rsidRPr="00C95EAF">
              <w:rPr>
                <w:noProof/>
                <w:sz w:val="20"/>
                <w:szCs w:val="20"/>
              </w:rPr>
              <w:t xml:space="preserve"> ‘The intent of the Standards’ on p.3</w:t>
            </w:r>
            <w:r w:rsidR="00962BC8" w:rsidRPr="00C95EAF">
              <w:rPr>
                <w:noProof/>
                <w:sz w:val="20"/>
                <w:szCs w:val="20"/>
              </w:rPr>
              <w:t xml:space="preserve"> in relation to the intent of the criteria</w:t>
            </w:r>
            <w:r w:rsidRPr="00C95EAF">
              <w:rPr>
                <w:noProof/>
                <w:sz w:val="20"/>
                <w:szCs w:val="20"/>
              </w:rPr>
              <w:t xml:space="preserve">. </w:t>
            </w:r>
          </w:p>
        </w:tc>
      </w:tr>
      <w:tr w:rsidR="00772E72" w:rsidRPr="000F117B" w14:paraId="18AEBF8F"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1FE36F5" w14:textId="21494339" w:rsidR="00772E72" w:rsidRPr="00ED2C0D" w:rsidRDefault="00ED2C0D" w:rsidP="009F5D9A">
            <w:pPr>
              <w:pStyle w:val="Normal1"/>
              <w:spacing w:line="240" w:lineRule="auto"/>
              <w:rPr>
                <w:noProof/>
                <w:sz w:val="20"/>
                <w:szCs w:val="20"/>
              </w:rPr>
            </w:pPr>
            <w:r w:rsidRPr="00ED2C0D">
              <w:rPr>
                <w:noProof/>
                <w:sz w:val="20"/>
                <w:szCs w:val="20"/>
              </w:rPr>
              <w:t>3.0</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08EFED1" w14:textId="6BCE6D67" w:rsidR="00772E72" w:rsidRPr="00ED2C0D" w:rsidRDefault="00ED2C0D" w:rsidP="009F5D9A">
            <w:pPr>
              <w:pStyle w:val="Normal1"/>
              <w:spacing w:line="240" w:lineRule="auto"/>
              <w:rPr>
                <w:noProof/>
                <w:sz w:val="20"/>
                <w:szCs w:val="20"/>
              </w:rPr>
            </w:pPr>
            <w:r w:rsidRPr="00ED2C0D">
              <w:rPr>
                <w:sz w:val="20"/>
                <w:szCs w:val="20"/>
              </w:rPr>
              <w:t>DD MM</w:t>
            </w:r>
            <w:r w:rsidR="00772E72" w:rsidRPr="00ED2C0D">
              <w:rPr>
                <w:sz w:val="20"/>
                <w:szCs w:val="20"/>
              </w:rPr>
              <w:t xml:space="preserve"> 2021</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8D2590A" w14:textId="45014D33" w:rsidR="00772E72" w:rsidRPr="00ED2C0D" w:rsidRDefault="00772E72" w:rsidP="00541321">
            <w:pPr>
              <w:pStyle w:val="Normal1"/>
              <w:spacing w:line="240" w:lineRule="auto"/>
              <w:rPr>
                <w:noProof/>
                <w:sz w:val="20"/>
                <w:szCs w:val="20"/>
              </w:rPr>
            </w:pPr>
            <w:r w:rsidRPr="00ED2C0D">
              <w:rPr>
                <w:noProof/>
                <w:sz w:val="20"/>
                <w:szCs w:val="20"/>
              </w:rPr>
              <w:t>M</w:t>
            </w:r>
            <w:proofErr w:type="spellStart"/>
            <w:r w:rsidRPr="00ED2C0D">
              <w:rPr>
                <w:sz w:val="20"/>
                <w:szCs w:val="20"/>
              </w:rPr>
              <w:t>ajor</w:t>
            </w:r>
            <w:proofErr w:type="spellEnd"/>
            <w:r w:rsidRPr="00ED2C0D">
              <w:rPr>
                <w:sz w:val="20"/>
                <w:szCs w:val="20"/>
              </w:rPr>
              <w:t xml:space="preserve"> revision.</w:t>
            </w:r>
          </w:p>
        </w:tc>
      </w:tr>
    </w:tbl>
    <w:p w14:paraId="5101D4CC" w14:textId="5CE24DB5" w:rsidR="00B759C1" w:rsidRPr="00C95EAF" w:rsidRDefault="00B759C1">
      <w:pPr>
        <w:pStyle w:val="BulletsL1"/>
        <w:numPr>
          <w:ilvl w:val="0"/>
          <w:numId w:val="0"/>
        </w:numPr>
        <w:rPr>
          <w:rFonts w:cs="Arial"/>
          <w:noProof/>
          <w:lang w:val="en-AU"/>
        </w:rPr>
      </w:pPr>
    </w:p>
    <w:sectPr w:rsidR="00B759C1" w:rsidRPr="00C95EAF" w:rsidSect="00AE1FDB">
      <w:headerReference w:type="default" r:id="rId11"/>
      <w:footerReference w:type="default" r:id="rId12"/>
      <w:pgSz w:w="11906" w:h="16838"/>
      <w:pgMar w:top="1440" w:right="1440" w:bottom="709" w:left="1440" w:header="567"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5B813" w14:textId="77777777" w:rsidR="009F5D9A" w:rsidRDefault="009F5D9A" w:rsidP="006C328D">
      <w:pPr>
        <w:spacing w:before="0" w:after="0"/>
      </w:pPr>
      <w:r>
        <w:separator/>
      </w:r>
    </w:p>
  </w:endnote>
  <w:endnote w:type="continuationSeparator" w:id="0">
    <w:p w14:paraId="3370CA09" w14:textId="77777777" w:rsidR="009F5D9A" w:rsidRDefault="009F5D9A"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5E101057" w14:textId="77777777" w:rsidR="009F5D9A" w:rsidRPr="00FF2540" w:rsidRDefault="009F5D9A">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Pr>
                <w:b/>
                <w:bCs/>
                <w:noProof/>
                <w:color w:val="00847E" w:themeColor="accent1"/>
                <w:sz w:val="20"/>
                <w:szCs w:val="20"/>
              </w:rPr>
              <w:t>10</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Pr>
                <w:b/>
                <w:bCs/>
                <w:noProof/>
                <w:color w:val="00847E" w:themeColor="accent1"/>
                <w:sz w:val="20"/>
                <w:szCs w:val="20"/>
              </w:rPr>
              <w:t>10</w:t>
            </w:r>
            <w:r w:rsidRPr="00FF2540">
              <w:rPr>
                <w:b/>
                <w:bCs/>
                <w:color w:val="00847E" w:themeColor="accent1"/>
                <w:sz w:val="20"/>
                <w:szCs w:val="20"/>
              </w:rPr>
              <w:fldChar w:fldCharType="end"/>
            </w:r>
          </w:p>
        </w:sdtContent>
      </w:sdt>
    </w:sdtContent>
  </w:sdt>
  <w:p w14:paraId="294FC6DA" w14:textId="77777777" w:rsidR="009F5D9A" w:rsidRDefault="009F5D9A" w:rsidP="00AE1FDB">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1FAB6" w14:textId="77777777" w:rsidR="009F5D9A" w:rsidRDefault="009F5D9A" w:rsidP="006C328D">
      <w:pPr>
        <w:spacing w:before="0" w:after="0"/>
      </w:pPr>
      <w:r>
        <w:separator/>
      </w:r>
    </w:p>
  </w:footnote>
  <w:footnote w:type="continuationSeparator" w:id="0">
    <w:p w14:paraId="178D2D79" w14:textId="77777777" w:rsidR="009F5D9A" w:rsidRDefault="009F5D9A"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79C76" w14:textId="77777777" w:rsidR="009F5D9A" w:rsidRPr="006C328D" w:rsidRDefault="009F5D9A"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11" name="Picture 11"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7A404B30" wp14:editId="0F917A75">
          <wp:extent cx="1428750" cy="353174"/>
          <wp:effectExtent l="0" t="0" r="0" b="8890"/>
          <wp:docPr id="12" name="Picture 12"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069111E7"/>
    <w:multiLevelType w:val="hybridMultilevel"/>
    <w:tmpl w:val="0C56C42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382E6F"/>
    <w:multiLevelType w:val="hybridMultilevel"/>
    <w:tmpl w:val="0F1C10F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235EF"/>
    <w:multiLevelType w:val="hybridMultilevel"/>
    <w:tmpl w:val="91A27FF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31EC6"/>
    <w:multiLevelType w:val="hybridMultilevel"/>
    <w:tmpl w:val="7B6436D2"/>
    <w:lvl w:ilvl="0" w:tplc="2DB62B8E">
      <w:start w:val="1"/>
      <w:numFmt w:val="bullet"/>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CD1F5B"/>
    <w:multiLevelType w:val="hybridMultilevel"/>
    <w:tmpl w:val="1960F49E"/>
    <w:lvl w:ilvl="0" w:tplc="4BCEABDA">
      <w:start w:val="1"/>
      <w:numFmt w:val="bullet"/>
      <w:lvlText w:val=""/>
      <w:lvlJc w:val="left"/>
      <w:pPr>
        <w:ind w:left="778" w:hanging="360"/>
      </w:pPr>
      <w:rPr>
        <w:rFonts w:ascii="Symbol" w:hAnsi="Symbol" w:hint="default"/>
        <w:color w:val="00A398"/>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1CD96585"/>
    <w:multiLevelType w:val="hybridMultilevel"/>
    <w:tmpl w:val="D2F8F9A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4644B1"/>
    <w:multiLevelType w:val="hybridMultilevel"/>
    <w:tmpl w:val="EB36FBE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5A2E56"/>
    <w:multiLevelType w:val="hybridMultilevel"/>
    <w:tmpl w:val="3A9CDA22"/>
    <w:lvl w:ilvl="0" w:tplc="F50EB21A">
      <w:start w:val="1"/>
      <w:numFmt w:val="bullet"/>
      <w:pStyle w:val="BulletsL2"/>
      <w:lvlText w:val="4"/>
      <w:lvlJc w:val="left"/>
      <w:pPr>
        <w:ind w:left="720" w:hanging="360"/>
      </w:pPr>
      <w:rPr>
        <w:rFonts w:ascii="Webdings" w:hAnsi="Webdings" w:hint="default"/>
        <w:color w:val="00A6A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134D1A"/>
    <w:multiLevelType w:val="hybridMultilevel"/>
    <w:tmpl w:val="5982689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49520C"/>
    <w:multiLevelType w:val="hybridMultilevel"/>
    <w:tmpl w:val="A23C519E"/>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CB6E53"/>
    <w:multiLevelType w:val="hybridMultilevel"/>
    <w:tmpl w:val="5D5E6F2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3CF4C82"/>
    <w:multiLevelType w:val="hybridMultilevel"/>
    <w:tmpl w:val="B6149EF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7D5B51"/>
    <w:multiLevelType w:val="hybridMultilevel"/>
    <w:tmpl w:val="F58A39E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C662B9"/>
    <w:multiLevelType w:val="hybridMultilevel"/>
    <w:tmpl w:val="050AC096"/>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B87D4A"/>
    <w:multiLevelType w:val="hybridMultilevel"/>
    <w:tmpl w:val="9CF0434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4A7734"/>
    <w:multiLevelType w:val="hybridMultilevel"/>
    <w:tmpl w:val="81087ACC"/>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FB66B8"/>
    <w:multiLevelType w:val="hybridMultilevel"/>
    <w:tmpl w:val="E682898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DE6C5C"/>
    <w:multiLevelType w:val="hybridMultilevel"/>
    <w:tmpl w:val="BBA4FF80"/>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001282"/>
    <w:multiLevelType w:val="hybridMultilevel"/>
    <w:tmpl w:val="8F203FC6"/>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A237F2"/>
    <w:multiLevelType w:val="hybridMultilevel"/>
    <w:tmpl w:val="E176F9EC"/>
    <w:lvl w:ilvl="0" w:tplc="4BCEABDA">
      <w:start w:val="1"/>
      <w:numFmt w:val="bullet"/>
      <w:lvlText w:val=""/>
      <w:lvlJc w:val="left"/>
      <w:pPr>
        <w:ind w:left="778" w:hanging="360"/>
      </w:pPr>
      <w:rPr>
        <w:rFonts w:ascii="Symbol" w:hAnsi="Symbol" w:hint="default"/>
        <w:color w:val="00A398"/>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0" w15:restartNumberingAfterBreak="0">
    <w:nsid w:val="75A9139D"/>
    <w:multiLevelType w:val="hybridMultilevel"/>
    <w:tmpl w:val="CD8E481A"/>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2"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2"/>
  </w:num>
  <w:num w:numId="2">
    <w:abstractNumId w:val="31"/>
  </w:num>
  <w:num w:numId="3">
    <w:abstractNumId w:val="15"/>
  </w:num>
  <w:num w:numId="4">
    <w:abstractNumId w:val="25"/>
  </w:num>
  <w:num w:numId="5">
    <w:abstractNumId w:val="24"/>
  </w:num>
  <w:num w:numId="6">
    <w:abstractNumId w:val="22"/>
  </w:num>
  <w:num w:numId="7">
    <w:abstractNumId w:val="11"/>
  </w:num>
  <w:num w:numId="8">
    <w:abstractNumId w:val="12"/>
  </w:num>
  <w:num w:numId="9">
    <w:abstractNumId w:val="13"/>
  </w:num>
  <w:num w:numId="10">
    <w:abstractNumId w:val="23"/>
  </w:num>
  <w:num w:numId="11">
    <w:abstractNumId w:val="19"/>
  </w:num>
  <w:num w:numId="12">
    <w:abstractNumId w:val="8"/>
  </w:num>
  <w:num w:numId="13">
    <w:abstractNumId w:val="7"/>
  </w:num>
  <w:num w:numId="14">
    <w:abstractNumId w:val="3"/>
  </w:num>
  <w:num w:numId="15">
    <w:abstractNumId w:val="20"/>
  </w:num>
  <w:num w:numId="16">
    <w:abstractNumId w:val="14"/>
  </w:num>
  <w:num w:numId="17">
    <w:abstractNumId w:val="21"/>
  </w:num>
  <w:num w:numId="18">
    <w:abstractNumId w:val="26"/>
  </w:num>
  <w:num w:numId="19">
    <w:abstractNumId w:val="5"/>
  </w:num>
  <w:num w:numId="20">
    <w:abstractNumId w:val="27"/>
  </w:num>
  <w:num w:numId="21">
    <w:abstractNumId w:val="28"/>
  </w:num>
  <w:num w:numId="22">
    <w:abstractNumId w:val="6"/>
  </w:num>
  <w:num w:numId="23">
    <w:abstractNumId w:val="1"/>
  </w:num>
  <w:num w:numId="24">
    <w:abstractNumId w:val="9"/>
  </w:num>
  <w:num w:numId="25">
    <w:abstractNumId w:val="17"/>
  </w:num>
  <w:num w:numId="26">
    <w:abstractNumId w:val="18"/>
  </w:num>
  <w:num w:numId="27">
    <w:abstractNumId w:val="2"/>
  </w:num>
  <w:num w:numId="28">
    <w:abstractNumId w:val="10"/>
  </w:num>
  <w:num w:numId="29">
    <w:abstractNumId w:val="29"/>
  </w:num>
  <w:num w:numId="30">
    <w:abstractNumId w:val="4"/>
  </w:num>
  <w:num w:numId="31">
    <w:abstractNumId w:val="0"/>
  </w:num>
  <w:num w:numId="32">
    <w:abstractNumId w:val="16"/>
  </w:num>
  <w:num w:numId="33">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18C1"/>
    <w:rsid w:val="00002015"/>
    <w:rsid w:val="00005BFD"/>
    <w:rsid w:val="000103BA"/>
    <w:rsid w:val="0002032A"/>
    <w:rsid w:val="00022B45"/>
    <w:rsid w:val="00047FB3"/>
    <w:rsid w:val="00055F9D"/>
    <w:rsid w:val="0007028B"/>
    <w:rsid w:val="00071592"/>
    <w:rsid w:val="000766E4"/>
    <w:rsid w:val="00082CF7"/>
    <w:rsid w:val="000944B4"/>
    <w:rsid w:val="000A60F3"/>
    <w:rsid w:val="000B0BA9"/>
    <w:rsid w:val="000B49DC"/>
    <w:rsid w:val="000B7D25"/>
    <w:rsid w:val="000C0AB6"/>
    <w:rsid w:val="000C4D9B"/>
    <w:rsid w:val="000E510F"/>
    <w:rsid w:val="000E5FBD"/>
    <w:rsid w:val="000E688F"/>
    <w:rsid w:val="000F00DE"/>
    <w:rsid w:val="000F117B"/>
    <w:rsid w:val="000F26A9"/>
    <w:rsid w:val="00107D1B"/>
    <w:rsid w:val="001126FD"/>
    <w:rsid w:val="00116A17"/>
    <w:rsid w:val="00126E4D"/>
    <w:rsid w:val="00134DD1"/>
    <w:rsid w:val="00140F62"/>
    <w:rsid w:val="001440A7"/>
    <w:rsid w:val="001473A3"/>
    <w:rsid w:val="00152D17"/>
    <w:rsid w:val="00164942"/>
    <w:rsid w:val="001707A3"/>
    <w:rsid w:val="00181F0E"/>
    <w:rsid w:val="001845B1"/>
    <w:rsid w:val="001910C8"/>
    <w:rsid w:val="001937CF"/>
    <w:rsid w:val="00196F2D"/>
    <w:rsid w:val="001A4EAE"/>
    <w:rsid w:val="001A7DEF"/>
    <w:rsid w:val="001B7510"/>
    <w:rsid w:val="001C1EC9"/>
    <w:rsid w:val="001C43A2"/>
    <w:rsid w:val="001C68AB"/>
    <w:rsid w:val="001F205F"/>
    <w:rsid w:val="001F2D49"/>
    <w:rsid w:val="001F39F5"/>
    <w:rsid w:val="002019A1"/>
    <w:rsid w:val="00204BC7"/>
    <w:rsid w:val="002075C2"/>
    <w:rsid w:val="00210D74"/>
    <w:rsid w:val="002238DF"/>
    <w:rsid w:val="0022469E"/>
    <w:rsid w:val="00233FDD"/>
    <w:rsid w:val="0024219C"/>
    <w:rsid w:val="00244814"/>
    <w:rsid w:val="00244D59"/>
    <w:rsid w:val="00253EE0"/>
    <w:rsid w:val="00255EA2"/>
    <w:rsid w:val="00276729"/>
    <w:rsid w:val="002770FF"/>
    <w:rsid w:val="002955EE"/>
    <w:rsid w:val="002A0F67"/>
    <w:rsid w:val="002A56DB"/>
    <w:rsid w:val="002A7000"/>
    <w:rsid w:val="002B23DF"/>
    <w:rsid w:val="002B4967"/>
    <w:rsid w:val="002C5F51"/>
    <w:rsid w:val="002C794A"/>
    <w:rsid w:val="002C7E4F"/>
    <w:rsid w:val="002E5D7C"/>
    <w:rsid w:val="002F1FD6"/>
    <w:rsid w:val="002F204F"/>
    <w:rsid w:val="002F7389"/>
    <w:rsid w:val="0030065D"/>
    <w:rsid w:val="0030651C"/>
    <w:rsid w:val="00306EDD"/>
    <w:rsid w:val="003204C6"/>
    <w:rsid w:val="0032329A"/>
    <w:rsid w:val="00334C2A"/>
    <w:rsid w:val="0034020D"/>
    <w:rsid w:val="00345AA5"/>
    <w:rsid w:val="00350C0A"/>
    <w:rsid w:val="00350F2E"/>
    <w:rsid w:val="00352408"/>
    <w:rsid w:val="00355B8D"/>
    <w:rsid w:val="003678F1"/>
    <w:rsid w:val="00370759"/>
    <w:rsid w:val="003716A4"/>
    <w:rsid w:val="003778EB"/>
    <w:rsid w:val="003823FE"/>
    <w:rsid w:val="00386918"/>
    <w:rsid w:val="00394632"/>
    <w:rsid w:val="003A0BD3"/>
    <w:rsid w:val="003A56EB"/>
    <w:rsid w:val="003B1090"/>
    <w:rsid w:val="003B5CBC"/>
    <w:rsid w:val="003C0410"/>
    <w:rsid w:val="003C559A"/>
    <w:rsid w:val="003D549B"/>
    <w:rsid w:val="003D5815"/>
    <w:rsid w:val="003E02F2"/>
    <w:rsid w:val="003E0BCC"/>
    <w:rsid w:val="003E0DFA"/>
    <w:rsid w:val="003E4D06"/>
    <w:rsid w:val="003F2713"/>
    <w:rsid w:val="003F581D"/>
    <w:rsid w:val="003F7443"/>
    <w:rsid w:val="003F75C3"/>
    <w:rsid w:val="00402F32"/>
    <w:rsid w:val="00411901"/>
    <w:rsid w:val="004126B0"/>
    <w:rsid w:val="00417B39"/>
    <w:rsid w:val="00421DF9"/>
    <w:rsid w:val="004240B5"/>
    <w:rsid w:val="004304A0"/>
    <w:rsid w:val="00436E67"/>
    <w:rsid w:val="0044410E"/>
    <w:rsid w:val="00451687"/>
    <w:rsid w:val="00455DEF"/>
    <w:rsid w:val="0045740F"/>
    <w:rsid w:val="00465A13"/>
    <w:rsid w:val="004677FD"/>
    <w:rsid w:val="0048160D"/>
    <w:rsid w:val="00484490"/>
    <w:rsid w:val="004A076E"/>
    <w:rsid w:val="004A438F"/>
    <w:rsid w:val="004B0EA6"/>
    <w:rsid w:val="004C020E"/>
    <w:rsid w:val="004C20B3"/>
    <w:rsid w:val="004C39E3"/>
    <w:rsid w:val="004C6C45"/>
    <w:rsid w:val="004E5C4D"/>
    <w:rsid w:val="004E7A10"/>
    <w:rsid w:val="004F0130"/>
    <w:rsid w:val="004F09A5"/>
    <w:rsid w:val="004F190C"/>
    <w:rsid w:val="004F1B3E"/>
    <w:rsid w:val="004F3048"/>
    <w:rsid w:val="00511505"/>
    <w:rsid w:val="00512B6C"/>
    <w:rsid w:val="00513E63"/>
    <w:rsid w:val="00516F60"/>
    <w:rsid w:val="00525720"/>
    <w:rsid w:val="005410A8"/>
    <w:rsid w:val="00541321"/>
    <w:rsid w:val="00543277"/>
    <w:rsid w:val="00550D0B"/>
    <w:rsid w:val="00552A2D"/>
    <w:rsid w:val="00555161"/>
    <w:rsid w:val="005557EF"/>
    <w:rsid w:val="00562EE5"/>
    <w:rsid w:val="00563CE9"/>
    <w:rsid w:val="00566BAA"/>
    <w:rsid w:val="00571736"/>
    <w:rsid w:val="00587DDA"/>
    <w:rsid w:val="0059539E"/>
    <w:rsid w:val="005B458E"/>
    <w:rsid w:val="005B6A0C"/>
    <w:rsid w:val="005C51B5"/>
    <w:rsid w:val="005C5C91"/>
    <w:rsid w:val="005D3C28"/>
    <w:rsid w:val="005E3F68"/>
    <w:rsid w:val="006009B0"/>
    <w:rsid w:val="00603684"/>
    <w:rsid w:val="00614871"/>
    <w:rsid w:val="00622FA1"/>
    <w:rsid w:val="006262D8"/>
    <w:rsid w:val="00627B74"/>
    <w:rsid w:val="00631335"/>
    <w:rsid w:val="00634003"/>
    <w:rsid w:val="0064328F"/>
    <w:rsid w:val="00656932"/>
    <w:rsid w:val="00663306"/>
    <w:rsid w:val="0066741F"/>
    <w:rsid w:val="00682154"/>
    <w:rsid w:val="00691462"/>
    <w:rsid w:val="00696B8F"/>
    <w:rsid w:val="006A3536"/>
    <w:rsid w:val="006A420F"/>
    <w:rsid w:val="006B0B86"/>
    <w:rsid w:val="006B1F26"/>
    <w:rsid w:val="006B2B2D"/>
    <w:rsid w:val="006C328D"/>
    <w:rsid w:val="006C5AC7"/>
    <w:rsid w:val="006D17A1"/>
    <w:rsid w:val="006D3402"/>
    <w:rsid w:val="006E3AA7"/>
    <w:rsid w:val="006F79B0"/>
    <w:rsid w:val="00703469"/>
    <w:rsid w:val="00703B30"/>
    <w:rsid w:val="00713B43"/>
    <w:rsid w:val="007148AD"/>
    <w:rsid w:val="0072176E"/>
    <w:rsid w:val="00726CC7"/>
    <w:rsid w:val="00727494"/>
    <w:rsid w:val="00734B93"/>
    <w:rsid w:val="00754FB9"/>
    <w:rsid w:val="00770C2B"/>
    <w:rsid w:val="00772E72"/>
    <w:rsid w:val="007760B8"/>
    <w:rsid w:val="00781191"/>
    <w:rsid w:val="007822F4"/>
    <w:rsid w:val="00793A7D"/>
    <w:rsid w:val="007952AF"/>
    <w:rsid w:val="007B01C8"/>
    <w:rsid w:val="007B13B9"/>
    <w:rsid w:val="007B36ED"/>
    <w:rsid w:val="007B4E65"/>
    <w:rsid w:val="007B7234"/>
    <w:rsid w:val="007B77C7"/>
    <w:rsid w:val="007C32EE"/>
    <w:rsid w:val="007D4F47"/>
    <w:rsid w:val="007D51C7"/>
    <w:rsid w:val="007F00B4"/>
    <w:rsid w:val="007F3A02"/>
    <w:rsid w:val="007F3D0D"/>
    <w:rsid w:val="007F78F7"/>
    <w:rsid w:val="00805B6F"/>
    <w:rsid w:val="00807BDA"/>
    <w:rsid w:val="008109BC"/>
    <w:rsid w:val="00813DF0"/>
    <w:rsid w:val="00817324"/>
    <w:rsid w:val="00823257"/>
    <w:rsid w:val="00836815"/>
    <w:rsid w:val="00844EE8"/>
    <w:rsid w:val="00853F0B"/>
    <w:rsid w:val="00854F82"/>
    <w:rsid w:val="00855823"/>
    <w:rsid w:val="00855952"/>
    <w:rsid w:val="0086426F"/>
    <w:rsid w:val="008709DD"/>
    <w:rsid w:val="008724D7"/>
    <w:rsid w:val="00880DE1"/>
    <w:rsid w:val="00883173"/>
    <w:rsid w:val="00893420"/>
    <w:rsid w:val="008A1197"/>
    <w:rsid w:val="008A2F33"/>
    <w:rsid w:val="008A781D"/>
    <w:rsid w:val="008B2322"/>
    <w:rsid w:val="008C08FB"/>
    <w:rsid w:val="008C64D2"/>
    <w:rsid w:val="008C6E4F"/>
    <w:rsid w:val="008C7FA0"/>
    <w:rsid w:val="008D57F8"/>
    <w:rsid w:val="008F0AA3"/>
    <w:rsid w:val="0090146D"/>
    <w:rsid w:val="00903D86"/>
    <w:rsid w:val="009136B7"/>
    <w:rsid w:val="00924600"/>
    <w:rsid w:val="00931BE8"/>
    <w:rsid w:val="00933C31"/>
    <w:rsid w:val="0093760C"/>
    <w:rsid w:val="00956850"/>
    <w:rsid w:val="00960383"/>
    <w:rsid w:val="00962BC8"/>
    <w:rsid w:val="00964E4D"/>
    <w:rsid w:val="00970CE3"/>
    <w:rsid w:val="00984790"/>
    <w:rsid w:val="00996534"/>
    <w:rsid w:val="009A10F5"/>
    <w:rsid w:val="009A1C01"/>
    <w:rsid w:val="009A56DC"/>
    <w:rsid w:val="009B2881"/>
    <w:rsid w:val="009B4C7E"/>
    <w:rsid w:val="009B75DC"/>
    <w:rsid w:val="009B769E"/>
    <w:rsid w:val="009C2BE6"/>
    <w:rsid w:val="009C3DAC"/>
    <w:rsid w:val="009C5126"/>
    <w:rsid w:val="009C6277"/>
    <w:rsid w:val="009D53A7"/>
    <w:rsid w:val="009D64A4"/>
    <w:rsid w:val="009D71C7"/>
    <w:rsid w:val="009F5D9A"/>
    <w:rsid w:val="00A02574"/>
    <w:rsid w:val="00A02CF3"/>
    <w:rsid w:val="00A05020"/>
    <w:rsid w:val="00A0583F"/>
    <w:rsid w:val="00A103B4"/>
    <w:rsid w:val="00A158E8"/>
    <w:rsid w:val="00A20C23"/>
    <w:rsid w:val="00A211EA"/>
    <w:rsid w:val="00A21EC6"/>
    <w:rsid w:val="00A43EC1"/>
    <w:rsid w:val="00A4586F"/>
    <w:rsid w:val="00A577B8"/>
    <w:rsid w:val="00A61FC6"/>
    <w:rsid w:val="00A74724"/>
    <w:rsid w:val="00AA03FC"/>
    <w:rsid w:val="00AC0A72"/>
    <w:rsid w:val="00AD5166"/>
    <w:rsid w:val="00AD584F"/>
    <w:rsid w:val="00AE1FDB"/>
    <w:rsid w:val="00AF028D"/>
    <w:rsid w:val="00AF21BB"/>
    <w:rsid w:val="00B07A9E"/>
    <w:rsid w:val="00B16252"/>
    <w:rsid w:val="00B21B26"/>
    <w:rsid w:val="00B32128"/>
    <w:rsid w:val="00B329B4"/>
    <w:rsid w:val="00B3402D"/>
    <w:rsid w:val="00B37A5B"/>
    <w:rsid w:val="00B4364A"/>
    <w:rsid w:val="00B43705"/>
    <w:rsid w:val="00B44995"/>
    <w:rsid w:val="00B4578F"/>
    <w:rsid w:val="00B53A98"/>
    <w:rsid w:val="00B65F2D"/>
    <w:rsid w:val="00B67858"/>
    <w:rsid w:val="00B7099C"/>
    <w:rsid w:val="00B71DA1"/>
    <w:rsid w:val="00B72B92"/>
    <w:rsid w:val="00B733BE"/>
    <w:rsid w:val="00B759C1"/>
    <w:rsid w:val="00B77BDC"/>
    <w:rsid w:val="00B8295E"/>
    <w:rsid w:val="00B8518D"/>
    <w:rsid w:val="00B85AEE"/>
    <w:rsid w:val="00B94827"/>
    <w:rsid w:val="00BA674C"/>
    <w:rsid w:val="00BC073D"/>
    <w:rsid w:val="00BE09FA"/>
    <w:rsid w:val="00BE22D8"/>
    <w:rsid w:val="00BE287E"/>
    <w:rsid w:val="00BF0FB6"/>
    <w:rsid w:val="00BF607D"/>
    <w:rsid w:val="00C02630"/>
    <w:rsid w:val="00C026A8"/>
    <w:rsid w:val="00C061FC"/>
    <w:rsid w:val="00C10712"/>
    <w:rsid w:val="00C24719"/>
    <w:rsid w:val="00C347B4"/>
    <w:rsid w:val="00C41185"/>
    <w:rsid w:val="00C46CBF"/>
    <w:rsid w:val="00C52982"/>
    <w:rsid w:val="00C565B3"/>
    <w:rsid w:val="00C66C0D"/>
    <w:rsid w:val="00C8002C"/>
    <w:rsid w:val="00C820D0"/>
    <w:rsid w:val="00C82945"/>
    <w:rsid w:val="00C8318A"/>
    <w:rsid w:val="00C95EAF"/>
    <w:rsid w:val="00CA0240"/>
    <w:rsid w:val="00CA06A2"/>
    <w:rsid w:val="00CB19E1"/>
    <w:rsid w:val="00CB6C8E"/>
    <w:rsid w:val="00CC15CB"/>
    <w:rsid w:val="00CD2CED"/>
    <w:rsid w:val="00CD32F7"/>
    <w:rsid w:val="00CD70AF"/>
    <w:rsid w:val="00CE0F8D"/>
    <w:rsid w:val="00CE27CE"/>
    <w:rsid w:val="00CE2DB2"/>
    <w:rsid w:val="00CE46E5"/>
    <w:rsid w:val="00CE56E5"/>
    <w:rsid w:val="00CF0246"/>
    <w:rsid w:val="00D00F07"/>
    <w:rsid w:val="00D00FC0"/>
    <w:rsid w:val="00D062E8"/>
    <w:rsid w:val="00D16F4C"/>
    <w:rsid w:val="00D17090"/>
    <w:rsid w:val="00D24F75"/>
    <w:rsid w:val="00D267A4"/>
    <w:rsid w:val="00D278B6"/>
    <w:rsid w:val="00D30406"/>
    <w:rsid w:val="00D410F0"/>
    <w:rsid w:val="00D55511"/>
    <w:rsid w:val="00D571D4"/>
    <w:rsid w:val="00D76C7F"/>
    <w:rsid w:val="00D812CC"/>
    <w:rsid w:val="00D8448C"/>
    <w:rsid w:val="00D85C53"/>
    <w:rsid w:val="00D865A4"/>
    <w:rsid w:val="00D87C67"/>
    <w:rsid w:val="00D91C3A"/>
    <w:rsid w:val="00D94E92"/>
    <w:rsid w:val="00D95764"/>
    <w:rsid w:val="00D95877"/>
    <w:rsid w:val="00DA7E28"/>
    <w:rsid w:val="00DB55A1"/>
    <w:rsid w:val="00DC2CF5"/>
    <w:rsid w:val="00DC4422"/>
    <w:rsid w:val="00DD0218"/>
    <w:rsid w:val="00DD1115"/>
    <w:rsid w:val="00DD5042"/>
    <w:rsid w:val="00DE3ABE"/>
    <w:rsid w:val="00DE633F"/>
    <w:rsid w:val="00DE71D8"/>
    <w:rsid w:val="00DF03D7"/>
    <w:rsid w:val="00DF342B"/>
    <w:rsid w:val="00E04924"/>
    <w:rsid w:val="00E05BCD"/>
    <w:rsid w:val="00E060F7"/>
    <w:rsid w:val="00E14487"/>
    <w:rsid w:val="00E16F8C"/>
    <w:rsid w:val="00E203D3"/>
    <w:rsid w:val="00E218A3"/>
    <w:rsid w:val="00E2779C"/>
    <w:rsid w:val="00E33109"/>
    <w:rsid w:val="00E338C7"/>
    <w:rsid w:val="00E537A2"/>
    <w:rsid w:val="00E5586B"/>
    <w:rsid w:val="00E55D63"/>
    <w:rsid w:val="00E644A8"/>
    <w:rsid w:val="00E66AE9"/>
    <w:rsid w:val="00E71234"/>
    <w:rsid w:val="00E86881"/>
    <w:rsid w:val="00E90A04"/>
    <w:rsid w:val="00E93A2B"/>
    <w:rsid w:val="00E9410F"/>
    <w:rsid w:val="00EA3ED9"/>
    <w:rsid w:val="00EA4D67"/>
    <w:rsid w:val="00EA69A0"/>
    <w:rsid w:val="00EB2087"/>
    <w:rsid w:val="00EC1846"/>
    <w:rsid w:val="00EC632F"/>
    <w:rsid w:val="00EC7DC7"/>
    <w:rsid w:val="00ED2C0D"/>
    <w:rsid w:val="00ED6B47"/>
    <w:rsid w:val="00ED7DC8"/>
    <w:rsid w:val="00EE0396"/>
    <w:rsid w:val="00EE2440"/>
    <w:rsid w:val="00EE375E"/>
    <w:rsid w:val="00EE3BF8"/>
    <w:rsid w:val="00EF4D66"/>
    <w:rsid w:val="00EF7145"/>
    <w:rsid w:val="00EF7220"/>
    <w:rsid w:val="00F02D59"/>
    <w:rsid w:val="00F0763F"/>
    <w:rsid w:val="00F14CCE"/>
    <w:rsid w:val="00F15E29"/>
    <w:rsid w:val="00F17802"/>
    <w:rsid w:val="00F20CC8"/>
    <w:rsid w:val="00F20E6C"/>
    <w:rsid w:val="00F21C3A"/>
    <w:rsid w:val="00F21FC0"/>
    <w:rsid w:val="00F22638"/>
    <w:rsid w:val="00F400FF"/>
    <w:rsid w:val="00F416B7"/>
    <w:rsid w:val="00F469C0"/>
    <w:rsid w:val="00F50823"/>
    <w:rsid w:val="00F539B4"/>
    <w:rsid w:val="00F61176"/>
    <w:rsid w:val="00F64126"/>
    <w:rsid w:val="00F67EE5"/>
    <w:rsid w:val="00F90363"/>
    <w:rsid w:val="00F96D7E"/>
    <w:rsid w:val="00FA3577"/>
    <w:rsid w:val="00FA382F"/>
    <w:rsid w:val="00FB1EC7"/>
    <w:rsid w:val="00FB2B29"/>
    <w:rsid w:val="00FC38AD"/>
    <w:rsid w:val="00FC7686"/>
    <w:rsid w:val="00FD0682"/>
    <w:rsid w:val="00FD5F80"/>
    <w:rsid w:val="00FE77D4"/>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4F460"/>
  <w15:docId w15:val="{479BCE6D-581E-42FB-B3D6-B0D7BFEF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22"/>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sL1">
    <w:name w:val="Bullets L1"/>
    <w:basedOn w:val="ListParagraph"/>
    <w:link w:val="BulletsL1Char"/>
    <w:qFormat/>
    <w:rsid w:val="00B759C1"/>
    <w:pPr>
      <w:numPr>
        <w:numId w:val="12"/>
      </w:numPr>
      <w:spacing w:before="40" w:line="280" w:lineRule="exact"/>
      <w:ind w:left="426" w:hanging="426"/>
      <w:contextualSpacing w:val="0"/>
    </w:pPr>
    <w:rPr>
      <w:rFonts w:ascii="Arial" w:hAnsi="Arial"/>
      <w:color w:val="auto"/>
      <w:lang w:val="en-US"/>
    </w:rPr>
  </w:style>
  <w:style w:type="paragraph" w:customStyle="1" w:styleId="BulletsL2">
    <w:name w:val="Bullets L2"/>
    <w:basedOn w:val="BulletsL1"/>
    <w:link w:val="BulletsL2Char"/>
    <w:qFormat/>
    <w:rsid w:val="00B759C1"/>
    <w:pPr>
      <w:numPr>
        <w:numId w:val="13"/>
      </w:numPr>
    </w:pPr>
  </w:style>
  <w:style w:type="character" w:customStyle="1" w:styleId="BulletsL1Char">
    <w:name w:val="Bullets L1 Char"/>
    <w:basedOn w:val="DefaultParagraphFont"/>
    <w:link w:val="BulletsL1"/>
    <w:rsid w:val="00B759C1"/>
    <w:rPr>
      <w:rFonts w:ascii="Arial" w:hAnsi="Arial"/>
      <w:color w:val="auto"/>
      <w:lang w:val="en-US"/>
    </w:rPr>
  </w:style>
  <w:style w:type="character" w:customStyle="1" w:styleId="BulletsL2Char">
    <w:name w:val="Bullets L2 Char"/>
    <w:basedOn w:val="BulletsL1Char"/>
    <w:link w:val="BulletsL2"/>
    <w:rsid w:val="00B759C1"/>
    <w:rPr>
      <w:rFonts w:ascii="Arial" w:hAnsi="Arial"/>
      <w:color w:val="auto"/>
      <w:lang w:val="en-US"/>
    </w:rPr>
  </w:style>
  <w:style w:type="paragraph" w:styleId="FootnoteText">
    <w:name w:val="footnote text"/>
    <w:basedOn w:val="Normal"/>
    <w:link w:val="FootnoteTextChar"/>
    <w:uiPriority w:val="99"/>
    <w:semiHidden/>
    <w:unhideWhenUsed/>
    <w:rsid w:val="00B759C1"/>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B759C1"/>
    <w:rPr>
      <w:color w:val="auto"/>
      <w:sz w:val="20"/>
      <w:szCs w:val="20"/>
      <w:lang w:val="en-GB"/>
    </w:rPr>
  </w:style>
  <w:style w:type="character" w:styleId="FootnoteReference">
    <w:name w:val="footnote reference"/>
    <w:basedOn w:val="DefaultParagraphFont"/>
    <w:uiPriority w:val="99"/>
    <w:semiHidden/>
    <w:unhideWhenUsed/>
    <w:rsid w:val="00B759C1"/>
    <w:rPr>
      <w:vertAlign w:val="superscript"/>
    </w:rPr>
  </w:style>
  <w:style w:type="character" w:styleId="Hyperlink">
    <w:name w:val="Hyperlink"/>
    <w:basedOn w:val="DefaultParagraphFont"/>
    <w:uiPriority w:val="99"/>
    <w:unhideWhenUsed/>
    <w:rsid w:val="00B759C1"/>
    <w:rPr>
      <w:color w:val="00847E" w:themeColor="hyperlink"/>
      <w:u w:val="single"/>
    </w:rPr>
  </w:style>
  <w:style w:type="paragraph" w:customStyle="1" w:styleId="Normal1">
    <w:name w:val="Normal1"/>
    <w:basedOn w:val="Normal"/>
    <w:rsid w:val="00B759C1"/>
    <w:pPr>
      <w:spacing w:before="0" w:after="0" w:line="276" w:lineRule="auto"/>
    </w:pPr>
    <w:rPr>
      <w:rFonts w:ascii="Arial" w:hAnsi="Arial" w:cs="Arial"/>
      <w:color w:val="000000"/>
    </w:rPr>
  </w:style>
  <w:style w:type="paragraph" w:styleId="ListParagraph">
    <w:name w:val="List Paragraph"/>
    <w:basedOn w:val="Normal"/>
    <w:uiPriority w:val="34"/>
    <w:rsid w:val="00B759C1"/>
    <w:pPr>
      <w:ind w:left="720"/>
      <w:contextualSpacing/>
    </w:pPr>
  </w:style>
  <w:style w:type="character" w:styleId="SubtleEmphasis">
    <w:name w:val="Subtle Emphasis"/>
    <w:basedOn w:val="DefaultParagraphFont"/>
    <w:uiPriority w:val="19"/>
    <w:qFormat/>
    <w:rsid w:val="00B759C1"/>
    <w:rPr>
      <w:i/>
      <w:iCs/>
      <w:color w:val="808080" w:themeColor="text1" w:themeTint="7F"/>
    </w:rPr>
  </w:style>
  <w:style w:type="character" w:styleId="CommentReference">
    <w:name w:val="annotation reference"/>
    <w:basedOn w:val="DefaultParagraphFont"/>
    <w:uiPriority w:val="99"/>
    <w:semiHidden/>
    <w:unhideWhenUsed/>
    <w:rsid w:val="008C08FB"/>
    <w:rPr>
      <w:sz w:val="16"/>
      <w:szCs w:val="16"/>
    </w:rPr>
  </w:style>
  <w:style w:type="paragraph" w:styleId="CommentText">
    <w:name w:val="annotation text"/>
    <w:basedOn w:val="Normal"/>
    <w:link w:val="CommentTextChar"/>
    <w:uiPriority w:val="99"/>
    <w:semiHidden/>
    <w:unhideWhenUsed/>
    <w:rsid w:val="008C08FB"/>
    <w:rPr>
      <w:sz w:val="20"/>
      <w:szCs w:val="20"/>
    </w:rPr>
  </w:style>
  <w:style w:type="character" w:customStyle="1" w:styleId="CommentTextChar">
    <w:name w:val="Comment Text Char"/>
    <w:basedOn w:val="DefaultParagraphFont"/>
    <w:link w:val="CommentText"/>
    <w:uiPriority w:val="99"/>
    <w:semiHidden/>
    <w:rsid w:val="008C08FB"/>
    <w:rPr>
      <w:sz w:val="20"/>
      <w:szCs w:val="20"/>
    </w:rPr>
  </w:style>
  <w:style w:type="paragraph" w:styleId="CommentSubject">
    <w:name w:val="annotation subject"/>
    <w:basedOn w:val="CommentText"/>
    <w:next w:val="CommentText"/>
    <w:link w:val="CommentSubjectChar"/>
    <w:uiPriority w:val="99"/>
    <w:semiHidden/>
    <w:unhideWhenUsed/>
    <w:rsid w:val="008C08FB"/>
    <w:rPr>
      <w:b/>
      <w:bCs/>
    </w:rPr>
  </w:style>
  <w:style w:type="character" w:customStyle="1" w:styleId="CommentSubjectChar">
    <w:name w:val="Comment Subject Char"/>
    <w:basedOn w:val="CommentTextChar"/>
    <w:link w:val="CommentSubject"/>
    <w:uiPriority w:val="99"/>
    <w:semiHidden/>
    <w:rsid w:val="008C08FB"/>
    <w:rPr>
      <w:b/>
      <w:bCs/>
      <w:sz w:val="20"/>
      <w:szCs w:val="20"/>
    </w:rPr>
  </w:style>
  <w:style w:type="paragraph" w:styleId="Revision">
    <w:name w:val="Revision"/>
    <w:hidden/>
    <w:uiPriority w:val="99"/>
    <w:semiHidden/>
    <w:rsid w:val="008C08FB"/>
    <w:pPr>
      <w:spacing w:before="0" w:after="0"/>
    </w:pPr>
  </w:style>
  <w:style w:type="character" w:styleId="FollowedHyperlink">
    <w:name w:val="FollowedHyperlink"/>
    <w:basedOn w:val="DefaultParagraphFont"/>
    <w:uiPriority w:val="99"/>
    <w:semiHidden/>
    <w:unhideWhenUsed/>
    <w:rsid w:val="00E93A2B"/>
    <w:rPr>
      <w:color w:val="00847E" w:themeColor="followedHyperlink"/>
      <w:u w:val="single"/>
    </w:rPr>
  </w:style>
  <w:style w:type="character" w:styleId="UnresolvedMention">
    <w:name w:val="Unresolved Mention"/>
    <w:basedOn w:val="DefaultParagraphFont"/>
    <w:uiPriority w:val="99"/>
    <w:semiHidden/>
    <w:unhideWhenUsed/>
    <w:rsid w:val="003E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1B5C7-9E51-4834-9887-F9A97C4929FA}">
  <ds:schemaRefs>
    <ds:schemaRef ds:uri="http://schemas.openxmlformats.org/officeDocument/2006/bibliography"/>
  </ds:schemaRefs>
</ds:datastoreItem>
</file>

<file path=customXml/itemProps3.xml><?xml version="1.0" encoding="utf-8"?>
<ds:datastoreItem xmlns:ds="http://schemas.openxmlformats.org/officeDocument/2006/customXml" ds:itemID="{A82E1C12-8773-409A-B29D-4FC4E6BF5F01}">
  <ds:schemaRef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c7dac4e8-3feb-44f4-96ca-b86e7c14d0f6"/>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26614D6-DA47-4A88-BB0E-7C89098DA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Guidance Note: Scholarship</vt:lpstr>
    </vt:vector>
  </TitlesOfParts>
  <Company>Tertiary Education Quality and Standards Agency</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Guide: Scholarship</dc:title>
  <dc:creator>May, Raphael</dc:creator>
  <cp:lastModifiedBy>Hewitt-McManus, Tom</cp:lastModifiedBy>
  <cp:revision>4</cp:revision>
  <cp:lastPrinted>2018-12-12T03:47:00Z</cp:lastPrinted>
  <dcterms:created xsi:type="dcterms:W3CDTF">2021-10-12T04:57:00Z</dcterms:created>
  <dcterms:modified xsi:type="dcterms:W3CDTF">2021-10-12T04:58:00Z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